
<file path=[Content_Types].xml><?xml version="1.0" encoding="utf-8"?>
<Types xmlns="http://schemas.openxmlformats.org/package/2006/content-types">
  <Default Extension="gif" ContentType="image/gif"/>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EB8E90" w14:textId="77777777" w:rsidR="00416377" w:rsidRDefault="00416377" w:rsidP="00F65097">
      <w:pPr>
        <w:jc w:val="right"/>
        <w:rPr>
          <w:rFonts w:ascii="Titillium Web" w:hAnsi="Titillium Web"/>
          <w:b/>
          <w:sz w:val="24"/>
          <w:szCs w:val="24"/>
          <w:lang w:val="it-IT"/>
        </w:rPr>
      </w:pPr>
    </w:p>
    <w:p w14:paraId="2EB839AA" w14:textId="77777777" w:rsidR="00416377" w:rsidRDefault="00416377" w:rsidP="00F65097">
      <w:pPr>
        <w:jc w:val="right"/>
        <w:rPr>
          <w:rFonts w:ascii="Titillium Web" w:hAnsi="Titillium Web"/>
          <w:b/>
          <w:sz w:val="24"/>
          <w:szCs w:val="24"/>
          <w:lang w:val="it-IT"/>
        </w:rPr>
      </w:pPr>
    </w:p>
    <w:p w14:paraId="5BD75865" w14:textId="77777777" w:rsidR="00416377" w:rsidRPr="00416377" w:rsidRDefault="00416377" w:rsidP="00416377">
      <w:pPr>
        <w:jc w:val="center"/>
        <w:rPr>
          <w:rFonts w:ascii="Titillium Web" w:hAnsi="Titillium Web"/>
          <w:b/>
          <w:bCs/>
          <w:sz w:val="24"/>
          <w:szCs w:val="24"/>
          <w:lang w:val="it-IT"/>
        </w:rPr>
      </w:pPr>
    </w:p>
    <w:p w14:paraId="0C7EF743" w14:textId="77777777" w:rsidR="00416377" w:rsidRPr="00416377" w:rsidRDefault="00416377" w:rsidP="00416377">
      <w:pPr>
        <w:spacing w:line="360" w:lineRule="auto"/>
        <w:ind w:firstLine="708"/>
        <w:jc w:val="center"/>
        <w:rPr>
          <w:rFonts w:ascii="Titillium Web" w:hAnsi="Titillium Web"/>
          <w:b/>
          <w:bCs/>
          <w:sz w:val="24"/>
          <w:szCs w:val="24"/>
          <w:lang w:val="it-IT"/>
        </w:rPr>
      </w:pPr>
      <w:r w:rsidRPr="00416377">
        <w:rPr>
          <w:rFonts w:ascii="Titillium Web" w:hAnsi="Titillium Web"/>
          <w:b/>
          <w:bCs/>
          <w:sz w:val="24"/>
          <w:szCs w:val="24"/>
          <w:lang w:val="it-IT"/>
        </w:rPr>
        <w:t>AVVISO PUBBLICO PER LA RICERCA DI MEDICI DISPONIBILI PER L’EFFETTUAZIONE IN VIA PROVVISORIA E TEMPORANEA DI VISITE MEDICHE DI CONTROLLO PRESSO LA SEDE INPS DI MATERA</w:t>
      </w:r>
    </w:p>
    <w:p w14:paraId="7DE07178" w14:textId="77777777" w:rsidR="00416377" w:rsidRPr="00416377" w:rsidRDefault="00416377" w:rsidP="00416377">
      <w:pPr>
        <w:spacing w:line="360" w:lineRule="auto"/>
        <w:ind w:firstLine="708"/>
        <w:jc w:val="both"/>
        <w:rPr>
          <w:rFonts w:ascii="Titillium Web" w:hAnsi="Titillium Web"/>
          <w:sz w:val="24"/>
          <w:szCs w:val="24"/>
          <w:lang w:val="it-IT"/>
        </w:rPr>
      </w:pPr>
    </w:p>
    <w:p w14:paraId="266E0846" w14:textId="77777777" w:rsidR="00416377" w:rsidRPr="00B63EA4" w:rsidRDefault="00416377" w:rsidP="00B63EA4">
      <w:pPr>
        <w:spacing w:line="360" w:lineRule="auto"/>
        <w:ind w:firstLine="708"/>
        <w:jc w:val="center"/>
        <w:rPr>
          <w:rFonts w:ascii="Titillium Web" w:hAnsi="Titillium Web"/>
          <w:b/>
          <w:bCs/>
          <w:sz w:val="24"/>
          <w:szCs w:val="24"/>
          <w:lang w:val="it-IT"/>
        </w:rPr>
      </w:pPr>
      <w:r w:rsidRPr="00B63EA4">
        <w:rPr>
          <w:rFonts w:ascii="Titillium Web" w:hAnsi="Titillium Web"/>
          <w:b/>
          <w:bCs/>
          <w:sz w:val="24"/>
          <w:szCs w:val="24"/>
          <w:lang w:val="it-IT"/>
        </w:rPr>
        <w:t>L’Istituto Nazionale della Previdenza Sociale di Matera</w:t>
      </w:r>
    </w:p>
    <w:p w14:paraId="66402CAF" w14:textId="77777777" w:rsidR="00416377" w:rsidRPr="00416377" w:rsidRDefault="00416377" w:rsidP="00416377">
      <w:pPr>
        <w:spacing w:line="360" w:lineRule="auto"/>
        <w:ind w:firstLine="708"/>
        <w:jc w:val="both"/>
        <w:rPr>
          <w:rFonts w:ascii="Titillium Web" w:hAnsi="Titillium Web"/>
          <w:sz w:val="24"/>
          <w:szCs w:val="24"/>
          <w:lang w:val="it-IT"/>
        </w:rPr>
      </w:pPr>
    </w:p>
    <w:p w14:paraId="46FF2BD0" w14:textId="77777777" w:rsidR="00416377" w:rsidRPr="00416377" w:rsidRDefault="00416377" w:rsidP="00416377">
      <w:pPr>
        <w:spacing w:line="360" w:lineRule="auto"/>
        <w:ind w:firstLine="708"/>
        <w:jc w:val="both"/>
        <w:rPr>
          <w:rFonts w:ascii="Titillium Web" w:hAnsi="Titillium Web"/>
          <w:sz w:val="24"/>
          <w:szCs w:val="24"/>
          <w:lang w:val="it-IT"/>
        </w:rPr>
      </w:pPr>
      <w:r w:rsidRPr="00B63EA4">
        <w:rPr>
          <w:rFonts w:ascii="Titillium Web" w:hAnsi="Titillium Web"/>
          <w:b/>
          <w:bCs/>
          <w:sz w:val="24"/>
          <w:szCs w:val="24"/>
          <w:lang w:val="it-IT"/>
        </w:rPr>
        <w:t>Visti</w:t>
      </w:r>
      <w:r w:rsidRPr="00416377">
        <w:rPr>
          <w:rFonts w:ascii="Titillium Web" w:hAnsi="Titillium Web"/>
          <w:sz w:val="24"/>
          <w:szCs w:val="24"/>
          <w:lang w:val="it-IT"/>
        </w:rPr>
        <w:t xml:space="preserve"> gli articoli 18 e 22 del Decreto Legislativo n. 75 del 27 </w:t>
      </w:r>
      <w:proofErr w:type="gramStart"/>
      <w:r w:rsidRPr="00416377">
        <w:rPr>
          <w:rFonts w:ascii="Titillium Web" w:hAnsi="Titillium Web"/>
          <w:sz w:val="24"/>
          <w:szCs w:val="24"/>
          <w:lang w:val="it-IT"/>
        </w:rPr>
        <w:t>Maggio</w:t>
      </w:r>
      <w:proofErr w:type="gramEnd"/>
      <w:r w:rsidRPr="00416377">
        <w:rPr>
          <w:rFonts w:ascii="Titillium Web" w:hAnsi="Titillium Web"/>
          <w:sz w:val="24"/>
          <w:szCs w:val="24"/>
          <w:lang w:val="it-IT"/>
        </w:rPr>
        <w:t xml:space="preserve"> 2017, che sancisce l’entrata in vigore del “Polo unico per le visite fiscali” dal 1° settembre 2017 con l’attribuzione all’Istituto della competenza esclusiva ad effettuare visite mediche di controllo (VMC) sia su richiesta delle Pubbliche Amministrazioni, in qualità di datori di lavoro, sia d’ufficio;</w:t>
      </w:r>
    </w:p>
    <w:p w14:paraId="4640962A" w14:textId="77777777" w:rsidR="00416377" w:rsidRPr="00416377" w:rsidRDefault="00416377" w:rsidP="00416377">
      <w:pPr>
        <w:spacing w:line="360" w:lineRule="auto"/>
        <w:ind w:firstLine="708"/>
        <w:jc w:val="both"/>
        <w:rPr>
          <w:rFonts w:ascii="Titillium Web" w:hAnsi="Titillium Web"/>
          <w:sz w:val="24"/>
          <w:szCs w:val="24"/>
          <w:lang w:val="it-IT"/>
        </w:rPr>
      </w:pPr>
    </w:p>
    <w:p w14:paraId="36CDADAA" w14:textId="77777777" w:rsidR="00416377" w:rsidRPr="00416377" w:rsidRDefault="00416377" w:rsidP="00416377">
      <w:pPr>
        <w:spacing w:line="360" w:lineRule="auto"/>
        <w:ind w:firstLine="708"/>
        <w:jc w:val="both"/>
        <w:rPr>
          <w:rFonts w:ascii="Titillium Web" w:hAnsi="Titillium Web"/>
          <w:sz w:val="24"/>
          <w:szCs w:val="24"/>
          <w:lang w:val="it-IT"/>
        </w:rPr>
      </w:pPr>
      <w:r w:rsidRPr="00B63EA4">
        <w:rPr>
          <w:rFonts w:ascii="Titillium Web" w:hAnsi="Titillium Web"/>
          <w:b/>
          <w:bCs/>
          <w:sz w:val="24"/>
          <w:szCs w:val="24"/>
          <w:lang w:val="it-IT"/>
        </w:rPr>
        <w:t xml:space="preserve">Considerato </w:t>
      </w:r>
      <w:r w:rsidRPr="00416377">
        <w:rPr>
          <w:rFonts w:ascii="Titillium Web" w:hAnsi="Titillium Web"/>
          <w:sz w:val="24"/>
          <w:szCs w:val="24"/>
          <w:lang w:val="it-IT"/>
        </w:rPr>
        <w:t>che lo stesso decreto prevede anche la revisione della disciplina del rapporto tra Inps e medici di medicina fiscale, da regolamentare mediante apposite convenzioni, da stipularsi tra l’Inps e le organizzazioni sindacali di categoria maggiormente rappresentative, sulla base di un atto di indirizzo approvato con D.M. 2 agosto 2017;</w:t>
      </w:r>
    </w:p>
    <w:p w14:paraId="0B8C1586" w14:textId="77777777" w:rsidR="00416377" w:rsidRPr="00416377" w:rsidRDefault="00416377" w:rsidP="00416377">
      <w:pPr>
        <w:spacing w:line="360" w:lineRule="auto"/>
        <w:ind w:firstLine="708"/>
        <w:jc w:val="both"/>
        <w:rPr>
          <w:rFonts w:ascii="Titillium Web" w:hAnsi="Titillium Web"/>
          <w:sz w:val="24"/>
          <w:szCs w:val="24"/>
          <w:lang w:val="it-IT"/>
        </w:rPr>
      </w:pPr>
    </w:p>
    <w:p w14:paraId="18226317" w14:textId="77777777" w:rsidR="00416377" w:rsidRPr="00416377" w:rsidRDefault="00416377" w:rsidP="00416377">
      <w:pPr>
        <w:spacing w:line="360" w:lineRule="auto"/>
        <w:ind w:firstLine="708"/>
        <w:jc w:val="both"/>
        <w:rPr>
          <w:rFonts w:ascii="Titillium Web" w:hAnsi="Titillium Web"/>
          <w:sz w:val="24"/>
          <w:szCs w:val="24"/>
          <w:lang w:val="it-IT"/>
        </w:rPr>
      </w:pPr>
      <w:r w:rsidRPr="00B63EA4">
        <w:rPr>
          <w:rFonts w:ascii="Titillium Web" w:hAnsi="Titillium Web"/>
          <w:b/>
          <w:bCs/>
          <w:sz w:val="24"/>
          <w:szCs w:val="24"/>
          <w:lang w:val="it-IT"/>
        </w:rPr>
        <w:t>Considerato</w:t>
      </w:r>
      <w:r w:rsidRPr="00416377">
        <w:rPr>
          <w:rFonts w:ascii="Titillium Web" w:hAnsi="Titillium Web"/>
          <w:sz w:val="24"/>
          <w:szCs w:val="24"/>
          <w:lang w:val="it-IT"/>
        </w:rPr>
        <w:t xml:space="preserve"> che con decreto del Ministro della semplificazione e la pubblica Amministrazione, n.206 del 17 ottobre 2017, si è proceduto alla regolamentazione della disciplina nel settore pubblico in materia di fasce orarie di reperibilità, nonché alla definizione delle modalità per    lo    svolgimento    degli    accertamenti    medico    legali;</w:t>
      </w:r>
    </w:p>
    <w:p w14:paraId="7A401FAD" w14:textId="77777777" w:rsidR="00416377" w:rsidRPr="00416377" w:rsidRDefault="00416377" w:rsidP="00416377">
      <w:pPr>
        <w:spacing w:line="360" w:lineRule="auto"/>
        <w:ind w:firstLine="708"/>
        <w:jc w:val="both"/>
        <w:rPr>
          <w:rFonts w:ascii="Titillium Web" w:hAnsi="Titillium Web"/>
          <w:sz w:val="24"/>
          <w:szCs w:val="24"/>
          <w:lang w:val="it-IT"/>
        </w:rPr>
      </w:pPr>
    </w:p>
    <w:p w14:paraId="31D328F5" w14:textId="52EFD6EC" w:rsidR="00416377" w:rsidRPr="00416377" w:rsidRDefault="00416377" w:rsidP="00416377">
      <w:pPr>
        <w:spacing w:line="360" w:lineRule="auto"/>
        <w:ind w:firstLine="708"/>
        <w:jc w:val="both"/>
        <w:rPr>
          <w:rFonts w:ascii="Titillium Web" w:hAnsi="Titillium Web"/>
          <w:sz w:val="24"/>
          <w:szCs w:val="24"/>
          <w:lang w:val="it-IT"/>
        </w:rPr>
      </w:pPr>
      <w:r w:rsidRPr="00B63EA4">
        <w:rPr>
          <w:rFonts w:ascii="Titillium Web" w:hAnsi="Titillium Web"/>
          <w:b/>
          <w:bCs/>
          <w:sz w:val="24"/>
          <w:szCs w:val="24"/>
          <w:lang w:val="it-IT"/>
        </w:rPr>
        <w:t xml:space="preserve">Visto </w:t>
      </w:r>
      <w:r w:rsidRPr="00416377">
        <w:rPr>
          <w:rFonts w:ascii="Titillium Web" w:hAnsi="Titillium Web"/>
          <w:sz w:val="24"/>
          <w:szCs w:val="24"/>
          <w:lang w:val="it-IT"/>
        </w:rPr>
        <w:t>l’Accordo Collettivo Nazionale per la Medicina Fiscale e Convenzionata INPS sottoscritto in data 11 ottobre 2022, ed in</w:t>
      </w:r>
      <w:r w:rsidR="00B63EA4">
        <w:rPr>
          <w:rFonts w:ascii="Titillium Web" w:hAnsi="Titillium Web"/>
          <w:sz w:val="24"/>
          <w:szCs w:val="24"/>
          <w:lang w:val="it-IT"/>
        </w:rPr>
        <w:t xml:space="preserve"> </w:t>
      </w:r>
      <w:r w:rsidRPr="00416377">
        <w:rPr>
          <w:rFonts w:ascii="Titillium Web" w:hAnsi="Titillium Web"/>
          <w:sz w:val="24"/>
          <w:szCs w:val="24"/>
          <w:lang w:val="it-IT"/>
        </w:rPr>
        <w:t>particolare l’art. 10 che prevede l’assegnazione di incarichi temporanei della durata massima di 6 mesi, rinnovabile per una sola volta, in caso di impossibilità ad assicurare il servizio di controllo per carenze, anche temporanee, dei medici fiscali;</w:t>
      </w:r>
    </w:p>
    <w:p w14:paraId="0CD71B78" w14:textId="77777777" w:rsidR="00416377" w:rsidRPr="00416377" w:rsidRDefault="00416377" w:rsidP="00416377">
      <w:pPr>
        <w:spacing w:line="360" w:lineRule="auto"/>
        <w:ind w:firstLine="708"/>
        <w:jc w:val="both"/>
        <w:rPr>
          <w:rFonts w:ascii="Titillium Web" w:hAnsi="Titillium Web"/>
          <w:sz w:val="24"/>
          <w:szCs w:val="24"/>
          <w:lang w:val="it-IT"/>
        </w:rPr>
      </w:pPr>
    </w:p>
    <w:p w14:paraId="3345839E" w14:textId="6BB32BB8" w:rsidR="00416377" w:rsidRPr="00416377" w:rsidRDefault="00416377" w:rsidP="00416377">
      <w:pPr>
        <w:spacing w:line="360" w:lineRule="auto"/>
        <w:ind w:firstLine="708"/>
        <w:jc w:val="both"/>
        <w:rPr>
          <w:rFonts w:ascii="Titillium Web" w:hAnsi="Titillium Web"/>
          <w:sz w:val="24"/>
          <w:szCs w:val="24"/>
          <w:lang w:val="it-IT"/>
        </w:rPr>
      </w:pPr>
      <w:r w:rsidRPr="00B63EA4">
        <w:rPr>
          <w:rFonts w:ascii="Titillium Web" w:hAnsi="Titillium Web"/>
          <w:b/>
          <w:bCs/>
          <w:sz w:val="24"/>
          <w:szCs w:val="24"/>
          <w:lang w:val="it-IT"/>
        </w:rPr>
        <w:t xml:space="preserve">Considerato </w:t>
      </w:r>
      <w:r w:rsidRPr="00416377">
        <w:rPr>
          <w:rFonts w:ascii="Titillium Web" w:hAnsi="Titillium Web"/>
          <w:sz w:val="24"/>
          <w:szCs w:val="24"/>
          <w:lang w:val="it-IT"/>
        </w:rPr>
        <w:t>che risulta per questa Direzione Provinciale</w:t>
      </w:r>
      <w:r w:rsidR="00B63EA4">
        <w:rPr>
          <w:rFonts w:ascii="Titillium Web" w:hAnsi="Titillium Web"/>
          <w:sz w:val="24"/>
          <w:szCs w:val="24"/>
          <w:lang w:val="it-IT"/>
        </w:rPr>
        <w:t xml:space="preserve">, </w:t>
      </w:r>
      <w:r w:rsidR="00B63EA4" w:rsidRPr="00B63EA4">
        <w:rPr>
          <w:rFonts w:ascii="Titillium Web" w:hAnsi="Titillium Web"/>
          <w:b/>
          <w:bCs/>
          <w:sz w:val="24"/>
          <w:szCs w:val="24"/>
          <w:lang w:val="it-IT"/>
        </w:rPr>
        <w:t xml:space="preserve">nelle more </w:t>
      </w:r>
      <w:r w:rsidR="00B63EA4" w:rsidRPr="00416377">
        <w:rPr>
          <w:rFonts w:ascii="Titillium Web" w:hAnsi="Titillium Web"/>
          <w:sz w:val="24"/>
          <w:szCs w:val="24"/>
          <w:lang w:val="it-IT"/>
        </w:rPr>
        <w:t>del</w:t>
      </w:r>
      <w:r w:rsidR="008A6D77">
        <w:rPr>
          <w:rFonts w:ascii="Titillium Web" w:hAnsi="Titillium Web"/>
          <w:sz w:val="24"/>
          <w:szCs w:val="24"/>
          <w:lang w:val="it-IT"/>
        </w:rPr>
        <w:t xml:space="preserve"> completamento</w:t>
      </w:r>
      <w:r w:rsidR="00B63EA4" w:rsidRPr="00416377">
        <w:rPr>
          <w:rFonts w:ascii="Titillium Web" w:hAnsi="Titillium Web"/>
          <w:sz w:val="24"/>
          <w:szCs w:val="24"/>
          <w:lang w:val="it-IT"/>
        </w:rPr>
        <w:t xml:space="preserve"> da parte della Direzione Generale Inps delle procedure di reclutamento dei medici da convenzionare per le esigenze del “Polo unico per le visite fiscali”</w:t>
      </w:r>
      <w:r w:rsidR="00B63EA4">
        <w:rPr>
          <w:rFonts w:ascii="Titillium Web" w:hAnsi="Titillium Web"/>
          <w:sz w:val="24"/>
          <w:szCs w:val="24"/>
          <w:lang w:val="it-IT"/>
        </w:rPr>
        <w:t xml:space="preserve">, </w:t>
      </w:r>
      <w:r w:rsidRPr="00416377">
        <w:rPr>
          <w:rFonts w:ascii="Titillium Web" w:hAnsi="Titillium Web"/>
          <w:sz w:val="24"/>
          <w:szCs w:val="24"/>
          <w:lang w:val="it-IT"/>
        </w:rPr>
        <w:t xml:space="preserve">la </w:t>
      </w:r>
      <w:r w:rsidRPr="00B63EA4">
        <w:rPr>
          <w:rFonts w:ascii="Titillium Web" w:hAnsi="Titillium Web"/>
          <w:b/>
          <w:bCs/>
          <w:sz w:val="24"/>
          <w:szCs w:val="24"/>
          <w:u w:val="single"/>
          <w:lang w:val="it-IT"/>
        </w:rPr>
        <w:t>necessità di</w:t>
      </w:r>
      <w:r w:rsidRPr="00B63EA4">
        <w:rPr>
          <w:rFonts w:ascii="Titillium Web" w:hAnsi="Titillium Web"/>
          <w:sz w:val="24"/>
          <w:szCs w:val="24"/>
          <w:u w:val="single"/>
          <w:lang w:val="it-IT"/>
        </w:rPr>
        <w:t xml:space="preserve"> </w:t>
      </w:r>
      <w:r w:rsidR="00B63EA4" w:rsidRPr="00B63EA4">
        <w:rPr>
          <w:rFonts w:ascii="Titillium Web" w:hAnsi="Titillium Web"/>
          <w:b/>
          <w:bCs/>
          <w:sz w:val="24"/>
          <w:szCs w:val="24"/>
          <w:u w:val="single"/>
          <w:lang w:val="it-IT"/>
        </w:rPr>
        <w:t xml:space="preserve">n. </w:t>
      </w:r>
      <w:r w:rsidR="008A6D77">
        <w:rPr>
          <w:rFonts w:ascii="Titillium Web" w:hAnsi="Titillium Web"/>
          <w:b/>
          <w:bCs/>
          <w:sz w:val="24"/>
          <w:szCs w:val="24"/>
          <w:u w:val="single"/>
          <w:lang w:val="it-IT"/>
        </w:rPr>
        <w:t>3</w:t>
      </w:r>
      <w:r w:rsidRPr="00B63EA4">
        <w:rPr>
          <w:rFonts w:ascii="Titillium Web" w:hAnsi="Titillium Web"/>
          <w:b/>
          <w:bCs/>
          <w:sz w:val="24"/>
          <w:szCs w:val="24"/>
          <w:u w:val="single"/>
          <w:lang w:val="it-IT"/>
        </w:rPr>
        <w:t xml:space="preserve"> medici</w:t>
      </w:r>
      <w:r w:rsidRPr="00416377">
        <w:rPr>
          <w:rFonts w:ascii="Titillium Web" w:hAnsi="Titillium Web"/>
          <w:sz w:val="24"/>
          <w:szCs w:val="24"/>
          <w:lang w:val="it-IT"/>
        </w:rPr>
        <w:t xml:space="preserve"> da adibire allo svolgimento delle visite mediche di controllo</w:t>
      </w:r>
      <w:r w:rsidR="00B63EA4">
        <w:rPr>
          <w:rFonts w:ascii="Titillium Web" w:hAnsi="Titillium Web"/>
          <w:sz w:val="24"/>
          <w:szCs w:val="24"/>
          <w:lang w:val="it-IT"/>
        </w:rPr>
        <w:t xml:space="preserve">: n. 2 per il bacino di competenza territoriale della D.P. di Matera e n. </w:t>
      </w:r>
      <w:r w:rsidR="008A6D77">
        <w:rPr>
          <w:rFonts w:ascii="Titillium Web" w:hAnsi="Titillium Web"/>
          <w:sz w:val="24"/>
          <w:szCs w:val="24"/>
          <w:lang w:val="it-IT"/>
        </w:rPr>
        <w:t>1</w:t>
      </w:r>
      <w:r w:rsidR="00B63EA4">
        <w:rPr>
          <w:rFonts w:ascii="Titillium Web" w:hAnsi="Titillium Web"/>
          <w:sz w:val="24"/>
          <w:szCs w:val="24"/>
          <w:lang w:val="it-IT"/>
        </w:rPr>
        <w:t xml:space="preserve"> per quello dell’Agenzia di Policoro</w:t>
      </w:r>
      <w:r w:rsidRPr="00416377">
        <w:rPr>
          <w:rFonts w:ascii="Titillium Web" w:hAnsi="Titillium Web"/>
          <w:sz w:val="24"/>
          <w:szCs w:val="24"/>
          <w:lang w:val="it-IT"/>
        </w:rPr>
        <w:t>;</w:t>
      </w:r>
    </w:p>
    <w:p w14:paraId="55EBF0F5" w14:textId="77777777" w:rsidR="00416377" w:rsidRPr="00416377" w:rsidRDefault="00416377" w:rsidP="00416377">
      <w:pPr>
        <w:spacing w:line="360" w:lineRule="auto"/>
        <w:ind w:firstLine="708"/>
        <w:jc w:val="both"/>
        <w:rPr>
          <w:rFonts w:ascii="Titillium Web" w:hAnsi="Titillium Web"/>
          <w:sz w:val="24"/>
          <w:szCs w:val="24"/>
          <w:lang w:val="it-IT"/>
        </w:rPr>
      </w:pPr>
    </w:p>
    <w:p w14:paraId="5787BAB3" w14:textId="33A83E90" w:rsidR="00416377" w:rsidRPr="00B63EA4" w:rsidRDefault="00416377" w:rsidP="00B63EA4">
      <w:pPr>
        <w:spacing w:line="360" w:lineRule="auto"/>
        <w:ind w:firstLine="708"/>
        <w:jc w:val="center"/>
        <w:rPr>
          <w:rFonts w:ascii="Titillium Web" w:hAnsi="Titillium Web"/>
          <w:b/>
          <w:bCs/>
          <w:sz w:val="24"/>
          <w:szCs w:val="24"/>
          <w:lang w:val="it-IT"/>
        </w:rPr>
      </w:pPr>
      <w:r w:rsidRPr="00B63EA4">
        <w:rPr>
          <w:rFonts w:ascii="Titillium Web" w:hAnsi="Titillium Web"/>
          <w:b/>
          <w:bCs/>
          <w:sz w:val="24"/>
          <w:szCs w:val="24"/>
          <w:lang w:val="it-IT"/>
        </w:rPr>
        <w:t>rende noto quanto segue:</w:t>
      </w:r>
    </w:p>
    <w:p w14:paraId="0F648370" w14:textId="5F1BB74B" w:rsidR="00416377" w:rsidRPr="00B63EA4" w:rsidRDefault="00416377" w:rsidP="00416377">
      <w:pPr>
        <w:spacing w:line="360" w:lineRule="auto"/>
        <w:ind w:firstLine="708"/>
        <w:jc w:val="both"/>
        <w:rPr>
          <w:rFonts w:ascii="Titillium Web" w:hAnsi="Titillium Web"/>
          <w:b/>
          <w:bCs/>
          <w:sz w:val="24"/>
          <w:szCs w:val="24"/>
          <w:u w:val="single"/>
          <w:lang w:val="it-IT"/>
        </w:rPr>
      </w:pPr>
      <w:r w:rsidRPr="00416377">
        <w:rPr>
          <w:rFonts w:ascii="Titillium Web" w:hAnsi="Titillium Web"/>
          <w:sz w:val="24"/>
          <w:szCs w:val="24"/>
          <w:lang w:val="it-IT"/>
        </w:rPr>
        <w:t xml:space="preserve">questa Direzione Provinciale, in applicazione delle disposizioni di cui all’art. 10 dell’Accordo Collettivo Nazionale per la Medicina Fiscale e Convenzionata INPS sottoscritto in data 11 ottobre 2022, è interessata all’individuazione di medici disponibili, da subito, all’effettuazione, sia nella fascia antimeridiana che in quella pomeridiana, di tutti i giorni della settimana, compresi il sabato, la domenica e tutti i giorni festivi, delle visite domiciliari di controllo disposte dall’Inps nei confronti dei soggetti residenti nel bacino di competenza della </w:t>
      </w:r>
      <w:r w:rsidRPr="00B63EA4">
        <w:rPr>
          <w:rFonts w:ascii="Titillium Web" w:hAnsi="Titillium Web"/>
          <w:b/>
          <w:bCs/>
          <w:sz w:val="24"/>
          <w:szCs w:val="24"/>
          <w:u w:val="single"/>
          <w:lang w:val="it-IT"/>
        </w:rPr>
        <w:t xml:space="preserve">Direzione Provinciale di </w:t>
      </w:r>
      <w:r w:rsidR="00B63EA4" w:rsidRPr="00B63EA4">
        <w:rPr>
          <w:rFonts w:ascii="Titillium Web" w:hAnsi="Titillium Web"/>
          <w:b/>
          <w:bCs/>
          <w:sz w:val="24"/>
          <w:szCs w:val="24"/>
          <w:u w:val="single"/>
          <w:lang w:val="it-IT"/>
        </w:rPr>
        <w:t xml:space="preserve">Matera </w:t>
      </w:r>
      <w:r w:rsidRPr="00B63EA4">
        <w:rPr>
          <w:rFonts w:ascii="Titillium Web" w:hAnsi="Titillium Web"/>
          <w:b/>
          <w:bCs/>
          <w:sz w:val="24"/>
          <w:szCs w:val="24"/>
          <w:u w:val="single"/>
          <w:lang w:val="it-IT"/>
        </w:rPr>
        <w:t>e dell’Agenzia  di Policoro.</w:t>
      </w:r>
    </w:p>
    <w:p w14:paraId="1E130F32" w14:textId="77777777" w:rsidR="00416377" w:rsidRPr="00B63EA4" w:rsidRDefault="00416377" w:rsidP="00416377">
      <w:pPr>
        <w:spacing w:line="360" w:lineRule="auto"/>
        <w:ind w:firstLine="708"/>
        <w:jc w:val="both"/>
        <w:rPr>
          <w:rFonts w:ascii="Titillium Web" w:hAnsi="Titillium Web"/>
          <w:b/>
          <w:bCs/>
          <w:sz w:val="24"/>
          <w:szCs w:val="24"/>
          <w:lang w:val="it-IT"/>
        </w:rPr>
      </w:pPr>
      <w:r w:rsidRPr="00416377">
        <w:rPr>
          <w:rFonts w:ascii="Titillium Web" w:hAnsi="Titillium Web"/>
          <w:sz w:val="24"/>
          <w:szCs w:val="24"/>
          <w:lang w:val="it-IT"/>
        </w:rPr>
        <w:t xml:space="preserve">L’incarico, laddove conferito, sarà di natura provvisoria e avrà una </w:t>
      </w:r>
      <w:r w:rsidRPr="00B63EA4">
        <w:rPr>
          <w:rFonts w:ascii="Titillium Web" w:hAnsi="Titillium Web"/>
          <w:b/>
          <w:bCs/>
          <w:sz w:val="24"/>
          <w:szCs w:val="24"/>
          <w:lang w:val="it-IT"/>
        </w:rPr>
        <w:t>durata massima di sei mesi.</w:t>
      </w:r>
    </w:p>
    <w:p w14:paraId="5C3AAAC8"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lastRenderedPageBreak/>
        <w:t>L’attività svolta avrà natura libero professionale, in un rapporto di collaborazione fiduciaria con l’Istituto e, pertanto, in nessun caso si potrà configurare come rapporto svolto alle dipendenze dell’Inps.</w:t>
      </w:r>
    </w:p>
    <w:p w14:paraId="6856D0AC" w14:textId="335A192E"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Essa prevede l’utilizzo, secondo le modalità e le specifiche che saranno definite dall’Inps, di applicazioni e piattaforme informatiche connesse allo svolgimento delle attività relative alla composizione,</w:t>
      </w:r>
      <w:r w:rsidR="00B63EA4">
        <w:rPr>
          <w:rFonts w:ascii="Titillium Web" w:hAnsi="Titillium Web"/>
          <w:sz w:val="24"/>
          <w:szCs w:val="24"/>
          <w:lang w:val="it-IT"/>
        </w:rPr>
        <w:t xml:space="preserve"> </w:t>
      </w:r>
      <w:r w:rsidRPr="00416377">
        <w:rPr>
          <w:rFonts w:ascii="Titillium Web" w:hAnsi="Titillium Web"/>
          <w:sz w:val="24"/>
          <w:szCs w:val="24"/>
          <w:lang w:val="it-IT"/>
        </w:rPr>
        <w:t xml:space="preserve">acquisizione e trasmissione dei verbali e di ogni altro documento inerente </w:t>
      </w:r>
      <w:proofErr w:type="gramStart"/>
      <w:r w:rsidRPr="00416377">
        <w:rPr>
          <w:rFonts w:ascii="Titillium Web" w:hAnsi="Titillium Web"/>
          <w:sz w:val="24"/>
          <w:szCs w:val="24"/>
          <w:lang w:val="it-IT"/>
        </w:rPr>
        <w:t>le</w:t>
      </w:r>
      <w:proofErr w:type="gramEnd"/>
      <w:r w:rsidRPr="00416377">
        <w:rPr>
          <w:rFonts w:ascii="Titillium Web" w:hAnsi="Titillium Web"/>
          <w:sz w:val="24"/>
          <w:szCs w:val="24"/>
          <w:lang w:val="it-IT"/>
        </w:rPr>
        <w:t xml:space="preserve"> attività svolte.</w:t>
      </w:r>
    </w:p>
    <w:p w14:paraId="6A77B0D8" w14:textId="77777777" w:rsidR="00416377" w:rsidRPr="00B63EA4" w:rsidRDefault="00416377" w:rsidP="00416377">
      <w:pPr>
        <w:spacing w:line="360" w:lineRule="auto"/>
        <w:ind w:firstLine="708"/>
        <w:jc w:val="both"/>
        <w:rPr>
          <w:rFonts w:ascii="Titillium Web" w:hAnsi="Titillium Web"/>
          <w:b/>
          <w:bCs/>
          <w:sz w:val="24"/>
          <w:szCs w:val="24"/>
          <w:lang w:val="it-IT"/>
        </w:rPr>
      </w:pPr>
      <w:r w:rsidRPr="00416377">
        <w:rPr>
          <w:rFonts w:ascii="Titillium Web" w:hAnsi="Titillium Web"/>
          <w:sz w:val="24"/>
          <w:szCs w:val="24"/>
          <w:lang w:val="it-IT"/>
        </w:rPr>
        <w:t xml:space="preserve">Per gli incarichi temporanei di cui al presente avviso pubblico, laddove conferiti, si procederà tenendo conto dei criteri previsti dai decreti ministeriali che normano la disciplina nonché di quelli espressi nell’Accordo Collettivo Nazionale sopra richiamato, privilegiando comunque i requisiti legati all’esperienza maturata ed alla specifica professionalità, ed in particolare – in considerazione della procedura d’urgenza attivata – considerando </w:t>
      </w:r>
      <w:r w:rsidRPr="00B63EA4">
        <w:rPr>
          <w:rFonts w:ascii="Titillium Web" w:hAnsi="Titillium Web"/>
          <w:b/>
          <w:bCs/>
          <w:sz w:val="24"/>
          <w:szCs w:val="24"/>
          <w:lang w:val="it-IT"/>
        </w:rPr>
        <w:t>titoli utili in ordine di priorità:</w:t>
      </w:r>
    </w:p>
    <w:p w14:paraId="792BE8EC" w14:textId="0095E707" w:rsidR="00416377" w:rsidRPr="00B63EA4" w:rsidRDefault="00416377" w:rsidP="00B63EA4">
      <w:pPr>
        <w:pStyle w:val="Paragrafoelenco"/>
        <w:numPr>
          <w:ilvl w:val="0"/>
          <w:numId w:val="1"/>
        </w:numPr>
        <w:spacing w:line="360" w:lineRule="auto"/>
        <w:jc w:val="both"/>
        <w:rPr>
          <w:rFonts w:ascii="Titillium Web" w:hAnsi="Titillium Web"/>
          <w:sz w:val="24"/>
          <w:szCs w:val="24"/>
          <w:lang w:val="it-IT"/>
        </w:rPr>
      </w:pPr>
      <w:r w:rsidRPr="00B63EA4">
        <w:rPr>
          <w:rFonts w:ascii="Titillium Web" w:hAnsi="Titillium Web"/>
          <w:sz w:val="24"/>
          <w:szCs w:val="24"/>
          <w:lang w:val="it-IT"/>
        </w:rPr>
        <w:t>Presenza, ancora in posizione utile, in graduatorie per lo svolgimento di attività in ambito di medicina legale, a seguito di selezioni effettuate da Pubbliche Amministrazioni</w:t>
      </w:r>
      <w:r w:rsidR="00B63EA4">
        <w:rPr>
          <w:rFonts w:ascii="Titillium Web" w:hAnsi="Titillium Web"/>
          <w:sz w:val="24"/>
          <w:szCs w:val="24"/>
          <w:lang w:val="it-IT"/>
        </w:rPr>
        <w:t>;</w:t>
      </w:r>
    </w:p>
    <w:p w14:paraId="2493AE8E" w14:textId="2CDD71A9" w:rsidR="00416377" w:rsidRPr="00B63EA4" w:rsidRDefault="00416377" w:rsidP="00B63EA4">
      <w:pPr>
        <w:pStyle w:val="Paragrafoelenco"/>
        <w:numPr>
          <w:ilvl w:val="0"/>
          <w:numId w:val="1"/>
        </w:numPr>
        <w:spacing w:line="360" w:lineRule="auto"/>
        <w:jc w:val="both"/>
        <w:rPr>
          <w:rFonts w:ascii="Titillium Web" w:hAnsi="Titillium Web"/>
          <w:sz w:val="24"/>
          <w:szCs w:val="24"/>
          <w:lang w:val="it-IT"/>
        </w:rPr>
      </w:pPr>
      <w:r w:rsidRPr="00B63EA4">
        <w:rPr>
          <w:rFonts w:ascii="Titillium Web" w:hAnsi="Titillium Web"/>
          <w:sz w:val="24"/>
          <w:szCs w:val="24"/>
          <w:lang w:val="it-IT"/>
        </w:rPr>
        <w:t>L’aver svolto negli ultimi tre anni le funzioni di medico fiscale dell’INPS, anche con incarico temporaneo</w:t>
      </w:r>
      <w:r w:rsidR="00B63EA4">
        <w:rPr>
          <w:rFonts w:ascii="Titillium Web" w:hAnsi="Titillium Web"/>
          <w:sz w:val="24"/>
          <w:szCs w:val="24"/>
          <w:lang w:val="it-IT"/>
        </w:rPr>
        <w:t>;</w:t>
      </w:r>
    </w:p>
    <w:p w14:paraId="509C4B23" w14:textId="465E1EF6" w:rsidR="00416377" w:rsidRPr="00B63EA4" w:rsidRDefault="00416377" w:rsidP="00B63EA4">
      <w:pPr>
        <w:pStyle w:val="Paragrafoelenco"/>
        <w:numPr>
          <w:ilvl w:val="0"/>
          <w:numId w:val="1"/>
        </w:numPr>
        <w:spacing w:line="360" w:lineRule="auto"/>
        <w:jc w:val="both"/>
        <w:rPr>
          <w:rFonts w:ascii="Titillium Web" w:hAnsi="Titillium Web"/>
          <w:sz w:val="24"/>
          <w:szCs w:val="24"/>
          <w:lang w:val="it-IT"/>
        </w:rPr>
      </w:pPr>
      <w:r w:rsidRPr="00B63EA4">
        <w:rPr>
          <w:rFonts w:ascii="Titillium Web" w:hAnsi="Titillium Web"/>
          <w:sz w:val="24"/>
          <w:szCs w:val="24"/>
          <w:lang w:val="it-IT"/>
        </w:rPr>
        <w:t>Svolgimento dell’attività di medicina fiscale presso le AASSLL nell’ultimo quadriennio, previo nulla osta al conferimento di tale incarico rilasciato dalla ASL di appartenenza e fatte salve le condizioni d</w:t>
      </w:r>
      <w:r w:rsidR="00B63EA4" w:rsidRPr="00B63EA4">
        <w:rPr>
          <w:rFonts w:ascii="Titillium Web" w:hAnsi="Titillium Web"/>
          <w:sz w:val="24"/>
          <w:szCs w:val="24"/>
          <w:lang w:val="it-IT"/>
        </w:rPr>
        <w:t xml:space="preserve">i </w:t>
      </w:r>
      <w:proofErr w:type="spellStart"/>
      <w:r w:rsidRPr="00B63EA4">
        <w:rPr>
          <w:rFonts w:ascii="Titillium Web" w:hAnsi="Titillium Web"/>
          <w:sz w:val="24"/>
          <w:szCs w:val="24"/>
          <w:lang w:val="it-IT"/>
        </w:rPr>
        <w:t>inconferibilità</w:t>
      </w:r>
      <w:proofErr w:type="spellEnd"/>
      <w:r w:rsidRPr="00B63EA4">
        <w:rPr>
          <w:rFonts w:ascii="Titillium Web" w:hAnsi="Titillium Web"/>
          <w:sz w:val="24"/>
          <w:szCs w:val="24"/>
          <w:lang w:val="it-IT"/>
        </w:rPr>
        <w:t xml:space="preserve"> ed incompatibilità richiamate dal presente avviso</w:t>
      </w:r>
      <w:r w:rsidR="00B63EA4">
        <w:rPr>
          <w:rFonts w:ascii="Titillium Web" w:hAnsi="Titillium Web"/>
          <w:sz w:val="24"/>
          <w:szCs w:val="24"/>
          <w:lang w:val="it-IT"/>
        </w:rPr>
        <w:t>;</w:t>
      </w:r>
    </w:p>
    <w:p w14:paraId="16FB577B" w14:textId="220885FB" w:rsidR="00416377" w:rsidRPr="00B63EA4" w:rsidRDefault="00416377" w:rsidP="00B63EA4">
      <w:pPr>
        <w:pStyle w:val="Paragrafoelenco"/>
        <w:numPr>
          <w:ilvl w:val="0"/>
          <w:numId w:val="1"/>
        </w:numPr>
        <w:spacing w:line="360" w:lineRule="auto"/>
        <w:jc w:val="both"/>
        <w:rPr>
          <w:rFonts w:ascii="Titillium Web" w:hAnsi="Titillium Web"/>
          <w:sz w:val="24"/>
          <w:szCs w:val="24"/>
          <w:lang w:val="it-IT"/>
        </w:rPr>
      </w:pPr>
      <w:r w:rsidRPr="00B63EA4">
        <w:rPr>
          <w:rFonts w:ascii="Titillium Web" w:hAnsi="Titillium Web"/>
          <w:sz w:val="24"/>
          <w:szCs w:val="24"/>
          <w:lang w:val="it-IT"/>
        </w:rPr>
        <w:t>In considerazione dell’urgenza e della temporaneità dell’incarico e delle esigenze di contenere i costi di gestione, sarà privilegiata la residenza in uno dei comuni oggetto dell’incarico.</w:t>
      </w:r>
    </w:p>
    <w:p w14:paraId="4357D463" w14:textId="77777777" w:rsidR="00416377" w:rsidRPr="00416377" w:rsidRDefault="00416377" w:rsidP="00416377">
      <w:pPr>
        <w:spacing w:line="360" w:lineRule="auto"/>
        <w:ind w:firstLine="708"/>
        <w:jc w:val="both"/>
        <w:rPr>
          <w:rFonts w:ascii="Titillium Web" w:hAnsi="Titillium Web"/>
          <w:sz w:val="24"/>
          <w:szCs w:val="24"/>
          <w:lang w:val="it-IT"/>
        </w:rPr>
      </w:pPr>
    </w:p>
    <w:p w14:paraId="1B7BB77A"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Per la determinazione della graduatoria all’interno di ciascun gruppo di requisiti preferenziali di cui sopra si terrà conto di:</w:t>
      </w:r>
    </w:p>
    <w:p w14:paraId="743A912B" w14:textId="563BEC0C" w:rsidR="00416377" w:rsidRPr="00513369" w:rsidRDefault="00416377" w:rsidP="00513369">
      <w:pPr>
        <w:pStyle w:val="Paragrafoelenco"/>
        <w:numPr>
          <w:ilvl w:val="0"/>
          <w:numId w:val="4"/>
        </w:numPr>
        <w:spacing w:line="360" w:lineRule="auto"/>
        <w:jc w:val="both"/>
        <w:rPr>
          <w:rFonts w:ascii="Titillium Web" w:hAnsi="Titillium Web"/>
          <w:sz w:val="24"/>
          <w:szCs w:val="24"/>
          <w:lang w:val="it-IT"/>
        </w:rPr>
      </w:pPr>
      <w:r w:rsidRPr="00513369">
        <w:rPr>
          <w:rFonts w:ascii="Titillium Web" w:hAnsi="Titillium Web"/>
          <w:b/>
          <w:bCs/>
          <w:sz w:val="24"/>
          <w:szCs w:val="24"/>
          <w:lang w:val="it-IT"/>
        </w:rPr>
        <w:t>Fino ad un massimo di 50 punti su 100 per titoli professionali</w:t>
      </w:r>
      <w:r w:rsidRPr="00513369">
        <w:rPr>
          <w:rFonts w:ascii="Titillium Web" w:hAnsi="Titillium Web"/>
          <w:sz w:val="24"/>
          <w:szCs w:val="24"/>
          <w:lang w:val="it-IT"/>
        </w:rPr>
        <w:t>:</w:t>
      </w:r>
    </w:p>
    <w:p w14:paraId="05E01443" w14:textId="260283E8" w:rsidR="00416377" w:rsidRPr="00513369" w:rsidRDefault="00416377" w:rsidP="00513369">
      <w:pPr>
        <w:pStyle w:val="Paragrafoelenco"/>
        <w:numPr>
          <w:ilvl w:val="0"/>
          <w:numId w:val="2"/>
        </w:numPr>
        <w:spacing w:line="360" w:lineRule="auto"/>
        <w:jc w:val="both"/>
        <w:rPr>
          <w:rFonts w:ascii="Titillium Web" w:hAnsi="Titillium Web"/>
          <w:sz w:val="24"/>
          <w:szCs w:val="24"/>
          <w:lang w:val="it-IT"/>
        </w:rPr>
      </w:pPr>
      <w:r w:rsidRPr="00513369">
        <w:rPr>
          <w:rFonts w:ascii="Titillium Web" w:hAnsi="Titillium Web"/>
          <w:sz w:val="24"/>
          <w:szCs w:val="24"/>
          <w:u w:val="single"/>
          <w:lang w:val="it-IT"/>
        </w:rPr>
        <w:t>Voto di laurea in Medicina e Chirurgia</w:t>
      </w:r>
      <w:r w:rsidRPr="00513369">
        <w:rPr>
          <w:rFonts w:ascii="Titillium Web" w:hAnsi="Titillium Web"/>
          <w:sz w:val="24"/>
          <w:szCs w:val="24"/>
          <w:lang w:val="it-IT"/>
        </w:rPr>
        <w:t>:</w:t>
      </w:r>
    </w:p>
    <w:p w14:paraId="007608B7"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1. punti 10 per 110/110 e lode; 2. punti 8 per 110/110;</w:t>
      </w:r>
    </w:p>
    <w:p w14:paraId="4B38F4B3"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3. punti 6 da 109 a 107/110;</w:t>
      </w:r>
    </w:p>
    <w:p w14:paraId="631054E9"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4. punti 4 da 106 a 100/110;</w:t>
      </w:r>
    </w:p>
    <w:p w14:paraId="69F28596" w14:textId="77777777" w:rsidR="00513369" w:rsidRDefault="00416377" w:rsidP="00513369">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5. punti 2 da 99 a 95/110;</w:t>
      </w:r>
    </w:p>
    <w:p w14:paraId="2DD47429" w14:textId="0AA55BE0" w:rsidR="00416377" w:rsidRPr="00513369" w:rsidRDefault="00513369" w:rsidP="00513369">
      <w:pPr>
        <w:pStyle w:val="Paragrafoelenco"/>
        <w:numPr>
          <w:ilvl w:val="0"/>
          <w:numId w:val="2"/>
        </w:numPr>
        <w:spacing w:line="360" w:lineRule="auto"/>
        <w:jc w:val="both"/>
        <w:rPr>
          <w:rFonts w:ascii="Titillium Web" w:hAnsi="Titillium Web"/>
          <w:sz w:val="24"/>
          <w:szCs w:val="24"/>
          <w:u w:val="single"/>
          <w:lang w:val="it-IT"/>
        </w:rPr>
      </w:pPr>
      <w:r w:rsidRPr="00513369">
        <w:rPr>
          <w:rFonts w:ascii="Titillium Web" w:hAnsi="Titillium Web"/>
          <w:sz w:val="24"/>
          <w:szCs w:val="24"/>
          <w:lang w:val="it-IT"/>
        </w:rPr>
        <w:t xml:space="preserve"> </w:t>
      </w:r>
      <w:r w:rsidR="00416377" w:rsidRPr="00513369">
        <w:rPr>
          <w:rFonts w:ascii="Titillium Web" w:hAnsi="Titillium Web"/>
          <w:sz w:val="24"/>
          <w:szCs w:val="24"/>
          <w:u w:val="single"/>
          <w:lang w:val="it-IT"/>
        </w:rPr>
        <w:t>Specializzazione in:</w:t>
      </w:r>
    </w:p>
    <w:p w14:paraId="4A7902E4"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w:t>
      </w:r>
      <w:r w:rsidRPr="00416377">
        <w:rPr>
          <w:rFonts w:ascii="Titillium Web" w:hAnsi="Titillium Web"/>
          <w:sz w:val="24"/>
          <w:szCs w:val="24"/>
          <w:lang w:val="it-IT"/>
        </w:rPr>
        <w:tab/>
        <w:t>Medicina legale o Medicina legale e delle assicurazioni o Medicina legale ed infortunistica: punti 26;</w:t>
      </w:r>
    </w:p>
    <w:p w14:paraId="1F70AEEF"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w:t>
      </w:r>
      <w:r w:rsidRPr="00416377">
        <w:rPr>
          <w:rFonts w:ascii="Titillium Web" w:hAnsi="Titillium Web"/>
          <w:sz w:val="24"/>
          <w:szCs w:val="24"/>
          <w:lang w:val="it-IT"/>
        </w:rPr>
        <w:tab/>
        <w:t>Medicina del lavoro: punti 22;</w:t>
      </w:r>
    </w:p>
    <w:p w14:paraId="40F3D2F4"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w:t>
      </w:r>
      <w:r w:rsidRPr="00416377">
        <w:rPr>
          <w:rFonts w:ascii="Titillium Web" w:hAnsi="Titillium Web"/>
          <w:sz w:val="24"/>
          <w:szCs w:val="24"/>
          <w:lang w:val="it-IT"/>
        </w:rPr>
        <w:tab/>
        <w:t>Igiene e sanità pubblica: punti 20;</w:t>
      </w:r>
    </w:p>
    <w:p w14:paraId="64F0A318"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w:t>
      </w:r>
      <w:r w:rsidRPr="00416377">
        <w:rPr>
          <w:rFonts w:ascii="Titillium Web" w:hAnsi="Titillium Web"/>
          <w:sz w:val="24"/>
          <w:szCs w:val="24"/>
          <w:lang w:val="it-IT"/>
        </w:rPr>
        <w:tab/>
        <w:t>Ogni altra specializzazione: punti 16.</w:t>
      </w:r>
    </w:p>
    <w:p w14:paraId="7EADC25B"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Possono essere valutate anche più specializzazioni: in tal caso, la prima (quella con punteggio più favorevole) viene valutata al 100% mentre le altre sono valutate al 50%.</w:t>
      </w:r>
    </w:p>
    <w:p w14:paraId="6B0619D0"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Diploma di formazione specifica in Medicina Generale: punti 12.</w:t>
      </w:r>
    </w:p>
    <w:p w14:paraId="3494D675" w14:textId="062CD22B" w:rsidR="00416377" w:rsidRPr="00513369" w:rsidRDefault="00416377" w:rsidP="00513369">
      <w:pPr>
        <w:pStyle w:val="Paragrafoelenco"/>
        <w:numPr>
          <w:ilvl w:val="0"/>
          <w:numId w:val="2"/>
        </w:numPr>
        <w:spacing w:line="360" w:lineRule="auto"/>
        <w:jc w:val="both"/>
        <w:rPr>
          <w:rFonts w:ascii="Titillium Web" w:hAnsi="Titillium Web"/>
          <w:sz w:val="24"/>
          <w:szCs w:val="24"/>
          <w:lang w:val="it-IT"/>
        </w:rPr>
      </w:pPr>
      <w:r w:rsidRPr="00513369">
        <w:rPr>
          <w:rFonts w:ascii="Titillium Web" w:hAnsi="Titillium Web"/>
          <w:sz w:val="24"/>
          <w:szCs w:val="24"/>
          <w:u w:val="single"/>
          <w:lang w:val="it-IT"/>
        </w:rPr>
        <w:t>Formazione post-universitaria</w:t>
      </w:r>
      <w:r w:rsidRPr="00513369">
        <w:rPr>
          <w:rFonts w:ascii="Titillium Web" w:hAnsi="Titillium Web"/>
          <w:sz w:val="24"/>
          <w:szCs w:val="24"/>
          <w:lang w:val="it-IT"/>
        </w:rPr>
        <w:t>:</w:t>
      </w:r>
    </w:p>
    <w:p w14:paraId="4CF40658"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w:t>
      </w:r>
      <w:r w:rsidRPr="00416377">
        <w:rPr>
          <w:rFonts w:ascii="Titillium Web" w:hAnsi="Titillium Web"/>
          <w:sz w:val="24"/>
          <w:szCs w:val="24"/>
          <w:lang w:val="it-IT"/>
        </w:rPr>
        <w:tab/>
        <w:t>Dottorato di ricerca in materia affine alla Medicina legale: punti 10;</w:t>
      </w:r>
    </w:p>
    <w:p w14:paraId="48A42E84"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w:t>
      </w:r>
      <w:r w:rsidRPr="00416377">
        <w:rPr>
          <w:rFonts w:ascii="Titillium Web" w:hAnsi="Titillium Web"/>
          <w:sz w:val="24"/>
          <w:szCs w:val="24"/>
          <w:lang w:val="it-IT"/>
        </w:rPr>
        <w:tab/>
        <w:t>Dottorato di ricerca in materia non affine alla Medicina legale: punti 6;</w:t>
      </w:r>
    </w:p>
    <w:p w14:paraId="5D9961E8"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w:t>
      </w:r>
      <w:r w:rsidRPr="00416377">
        <w:rPr>
          <w:rFonts w:ascii="Titillium Web" w:hAnsi="Titillium Web"/>
          <w:sz w:val="24"/>
          <w:szCs w:val="24"/>
          <w:lang w:val="it-IT"/>
        </w:rPr>
        <w:tab/>
        <w:t>Master universitario in materia affine alla Medicina legale: punti 4;</w:t>
      </w:r>
    </w:p>
    <w:p w14:paraId="604DE6F5"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w:t>
      </w:r>
      <w:r w:rsidRPr="00416377">
        <w:rPr>
          <w:rFonts w:ascii="Titillium Web" w:hAnsi="Titillium Web"/>
          <w:sz w:val="24"/>
          <w:szCs w:val="24"/>
          <w:lang w:val="it-IT"/>
        </w:rPr>
        <w:tab/>
        <w:t>Master universitario in materia non affine alla Medicina legale: punti 2;</w:t>
      </w:r>
    </w:p>
    <w:p w14:paraId="27A23180" w14:textId="77777777" w:rsidR="00416377" w:rsidRPr="00416377" w:rsidRDefault="00416377" w:rsidP="00416377">
      <w:pPr>
        <w:spacing w:line="360" w:lineRule="auto"/>
        <w:ind w:firstLine="708"/>
        <w:jc w:val="both"/>
        <w:rPr>
          <w:rFonts w:ascii="Titillium Web" w:hAnsi="Titillium Web"/>
          <w:sz w:val="24"/>
          <w:szCs w:val="24"/>
          <w:lang w:val="it-IT"/>
        </w:rPr>
      </w:pPr>
    </w:p>
    <w:p w14:paraId="1451D5F1" w14:textId="206163C6" w:rsidR="00416377" w:rsidRPr="00513369" w:rsidRDefault="00416377" w:rsidP="00513369">
      <w:pPr>
        <w:pStyle w:val="Paragrafoelenco"/>
        <w:numPr>
          <w:ilvl w:val="0"/>
          <w:numId w:val="4"/>
        </w:numPr>
        <w:spacing w:line="360" w:lineRule="auto"/>
        <w:jc w:val="both"/>
        <w:rPr>
          <w:rFonts w:ascii="Titillium Web" w:hAnsi="Titillium Web"/>
          <w:b/>
          <w:bCs/>
          <w:sz w:val="24"/>
          <w:szCs w:val="24"/>
          <w:lang w:val="it-IT"/>
        </w:rPr>
      </w:pPr>
      <w:r w:rsidRPr="00513369">
        <w:rPr>
          <w:rFonts w:ascii="Titillium Web" w:hAnsi="Titillium Web"/>
          <w:b/>
          <w:bCs/>
          <w:sz w:val="24"/>
          <w:szCs w:val="24"/>
          <w:lang w:val="it-IT"/>
        </w:rPr>
        <w:t>Fino ad un massimo di 50 punti su 100 per servizio svolto in attività pertinente:</w:t>
      </w:r>
    </w:p>
    <w:p w14:paraId="29F70B7C" w14:textId="77777777" w:rsidR="00513369" w:rsidRDefault="00416377" w:rsidP="00513369">
      <w:pPr>
        <w:pStyle w:val="Paragrafoelenco"/>
        <w:numPr>
          <w:ilvl w:val="0"/>
          <w:numId w:val="5"/>
        </w:numPr>
        <w:spacing w:line="360" w:lineRule="auto"/>
        <w:jc w:val="both"/>
        <w:rPr>
          <w:rFonts w:ascii="Titillium Web" w:hAnsi="Titillium Web"/>
          <w:sz w:val="24"/>
          <w:szCs w:val="24"/>
          <w:lang w:val="it-IT"/>
        </w:rPr>
      </w:pPr>
      <w:r w:rsidRPr="00513369">
        <w:rPr>
          <w:rFonts w:ascii="Titillium Web" w:hAnsi="Titillium Web"/>
          <w:sz w:val="24"/>
          <w:szCs w:val="24"/>
          <w:u w:val="single"/>
          <w:lang w:val="it-IT"/>
        </w:rPr>
        <w:t>attività prestata in qualità di medico fiscale INPS</w:t>
      </w:r>
      <w:r w:rsidRPr="00513369">
        <w:rPr>
          <w:rFonts w:ascii="Titillium Web" w:hAnsi="Titillium Web"/>
          <w:sz w:val="24"/>
          <w:szCs w:val="24"/>
          <w:lang w:val="it-IT"/>
        </w:rPr>
        <w:t>: punti 0,5 per ogni mese o frazione di mese;</w:t>
      </w:r>
    </w:p>
    <w:p w14:paraId="21CFC2AE" w14:textId="77777777" w:rsidR="00513369" w:rsidRDefault="00513369" w:rsidP="00513369">
      <w:pPr>
        <w:pStyle w:val="Paragrafoelenco"/>
        <w:numPr>
          <w:ilvl w:val="0"/>
          <w:numId w:val="5"/>
        </w:numPr>
        <w:spacing w:line="360" w:lineRule="auto"/>
        <w:jc w:val="both"/>
        <w:rPr>
          <w:rFonts w:ascii="Titillium Web" w:hAnsi="Titillium Web"/>
          <w:sz w:val="24"/>
          <w:szCs w:val="24"/>
          <w:lang w:val="it-IT"/>
        </w:rPr>
      </w:pPr>
      <w:r w:rsidRPr="00513369">
        <w:rPr>
          <w:rFonts w:ascii="Titillium Web" w:hAnsi="Titillium Web"/>
          <w:sz w:val="24"/>
          <w:szCs w:val="24"/>
          <w:lang w:val="it-IT"/>
        </w:rPr>
        <w:t xml:space="preserve"> </w:t>
      </w:r>
      <w:r w:rsidR="00416377" w:rsidRPr="00513369">
        <w:rPr>
          <w:rFonts w:ascii="Titillium Web" w:hAnsi="Titillium Web"/>
          <w:sz w:val="24"/>
          <w:szCs w:val="24"/>
          <w:u w:val="single"/>
          <w:lang w:val="it-IT"/>
        </w:rPr>
        <w:t>attività prestata in materia assistenziale e/o previdenziale presso l’INPS in qualità di medico convenzionato esterno</w:t>
      </w:r>
      <w:r w:rsidR="00416377" w:rsidRPr="00513369">
        <w:rPr>
          <w:rFonts w:ascii="Titillium Web" w:hAnsi="Titillium Web"/>
          <w:sz w:val="24"/>
          <w:szCs w:val="24"/>
          <w:lang w:val="it-IT"/>
        </w:rPr>
        <w:t>: punti 0,3 per ogni mese o frazione di mese;</w:t>
      </w:r>
    </w:p>
    <w:p w14:paraId="2676F488" w14:textId="77777777" w:rsidR="00513369" w:rsidRDefault="00416377" w:rsidP="00513369">
      <w:pPr>
        <w:pStyle w:val="Paragrafoelenco"/>
        <w:numPr>
          <w:ilvl w:val="0"/>
          <w:numId w:val="5"/>
        </w:numPr>
        <w:spacing w:line="360" w:lineRule="auto"/>
        <w:jc w:val="both"/>
        <w:rPr>
          <w:rFonts w:ascii="Titillium Web" w:hAnsi="Titillium Web"/>
          <w:sz w:val="24"/>
          <w:szCs w:val="24"/>
          <w:lang w:val="it-IT"/>
        </w:rPr>
      </w:pPr>
      <w:r w:rsidRPr="00513369">
        <w:rPr>
          <w:rFonts w:ascii="Titillium Web" w:hAnsi="Titillium Web"/>
          <w:sz w:val="24"/>
          <w:szCs w:val="24"/>
          <w:u w:val="single"/>
          <w:lang w:val="it-IT"/>
        </w:rPr>
        <w:t>attività prestata in qualità di medico fiscale AS</w:t>
      </w:r>
      <w:r w:rsidRPr="00513369">
        <w:rPr>
          <w:rFonts w:ascii="Titillium Web" w:hAnsi="Titillium Web"/>
          <w:sz w:val="24"/>
          <w:szCs w:val="24"/>
          <w:lang w:val="it-IT"/>
        </w:rPr>
        <w:t>L: punti 0,5 per ogni mese o frazione di mese;</w:t>
      </w:r>
    </w:p>
    <w:p w14:paraId="211E71CD" w14:textId="0024FFD3" w:rsidR="00416377" w:rsidRPr="00513369" w:rsidRDefault="00513369" w:rsidP="00513369">
      <w:pPr>
        <w:pStyle w:val="Paragrafoelenco"/>
        <w:numPr>
          <w:ilvl w:val="0"/>
          <w:numId w:val="5"/>
        </w:numPr>
        <w:spacing w:line="360" w:lineRule="auto"/>
        <w:jc w:val="both"/>
        <w:rPr>
          <w:rFonts w:ascii="Titillium Web" w:hAnsi="Titillium Web"/>
          <w:sz w:val="24"/>
          <w:szCs w:val="24"/>
          <w:lang w:val="it-IT"/>
        </w:rPr>
      </w:pPr>
      <w:r w:rsidRPr="00513369">
        <w:rPr>
          <w:rFonts w:ascii="Titillium Web" w:hAnsi="Titillium Web"/>
          <w:sz w:val="24"/>
          <w:szCs w:val="24"/>
          <w:lang w:val="it-IT"/>
        </w:rPr>
        <w:t xml:space="preserve"> </w:t>
      </w:r>
      <w:r w:rsidRPr="00513369">
        <w:rPr>
          <w:rFonts w:ascii="Titillium Web" w:hAnsi="Titillium Web"/>
          <w:sz w:val="24"/>
          <w:szCs w:val="24"/>
          <w:u w:val="single"/>
          <w:lang w:val="it-IT"/>
        </w:rPr>
        <w:t>a</w:t>
      </w:r>
      <w:r w:rsidR="00416377" w:rsidRPr="00513369">
        <w:rPr>
          <w:rFonts w:ascii="Titillium Web" w:hAnsi="Titillium Web"/>
          <w:sz w:val="24"/>
          <w:szCs w:val="24"/>
          <w:u w:val="single"/>
          <w:lang w:val="it-IT"/>
        </w:rPr>
        <w:t>ttività prestata in materia assistenziale e/o previdenziale presso</w:t>
      </w:r>
      <w:r w:rsidRPr="00513369">
        <w:rPr>
          <w:rFonts w:ascii="Titillium Web" w:hAnsi="Titillium Web"/>
          <w:sz w:val="24"/>
          <w:szCs w:val="24"/>
          <w:u w:val="single"/>
          <w:lang w:val="it-IT"/>
        </w:rPr>
        <w:t xml:space="preserve"> </w:t>
      </w:r>
      <w:r w:rsidR="00416377" w:rsidRPr="00513369">
        <w:rPr>
          <w:rFonts w:ascii="Titillium Web" w:hAnsi="Titillium Web"/>
          <w:sz w:val="24"/>
          <w:szCs w:val="24"/>
          <w:u w:val="single"/>
          <w:lang w:val="it-IT"/>
        </w:rPr>
        <w:t>P.A. diversa dall’INPS</w:t>
      </w:r>
      <w:r w:rsidR="00416377" w:rsidRPr="00513369">
        <w:rPr>
          <w:rFonts w:ascii="Titillium Web" w:hAnsi="Titillium Web"/>
          <w:sz w:val="24"/>
          <w:szCs w:val="24"/>
          <w:lang w:val="it-IT"/>
        </w:rPr>
        <w:t>: punti 0,2 per ogni mese o frazione di mese.</w:t>
      </w:r>
    </w:p>
    <w:p w14:paraId="28008EFB" w14:textId="3C8FC5B2"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A parità di punteggi conseguiti da due o più candidati, il criterio di precedenza in graduatoria è quello della più giovane età anagrafica.</w:t>
      </w:r>
    </w:p>
    <w:p w14:paraId="38A98686"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Al medico fiscale con incarico temporaneo compete lo specifico trattamento economico di cui all'art. 21 ACN.</w:t>
      </w:r>
    </w:p>
    <w:p w14:paraId="75F82891"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Il rapporto con il medico fiscale temporaneo è regolato secondo la disciplina contenuta nell’Accordo Collettivo Nazionale per la Medicina Fiscale e Convenzionata INPS sottoscritto in data 11 ottobre 2022, che deve intendersi espressamente richiamato.</w:t>
      </w:r>
    </w:p>
    <w:p w14:paraId="4A37F563" w14:textId="21B7FBA8"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La dichiarazione di disponibilità all’assunzione dell’incarico temporaneo dovrà essere presentata utilizzando il modulo allegato, debitamente compilato, prestando attenzione ad indicare il proprio numero di cellulare</w:t>
      </w:r>
      <w:r w:rsidR="00513369">
        <w:rPr>
          <w:rFonts w:ascii="Titillium Web" w:hAnsi="Titillium Web"/>
          <w:sz w:val="24"/>
          <w:szCs w:val="24"/>
          <w:lang w:val="it-IT"/>
        </w:rPr>
        <w:t xml:space="preserve">, </w:t>
      </w:r>
      <w:r w:rsidRPr="00416377">
        <w:rPr>
          <w:rFonts w:ascii="Titillium Web" w:hAnsi="Titillium Web"/>
          <w:sz w:val="24"/>
          <w:szCs w:val="24"/>
          <w:lang w:val="it-IT"/>
        </w:rPr>
        <w:t>indirizzo PEC</w:t>
      </w:r>
      <w:r w:rsidR="00513369">
        <w:rPr>
          <w:rFonts w:ascii="Titillium Web" w:hAnsi="Titillium Web"/>
          <w:sz w:val="24"/>
          <w:szCs w:val="24"/>
          <w:lang w:val="it-IT"/>
        </w:rPr>
        <w:t xml:space="preserve"> ed eventuale indirizzo mail.</w:t>
      </w:r>
    </w:p>
    <w:p w14:paraId="5FCDADBB"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Alla stessa dovrà essere allegata, a pena di esclusione, la copia di un valido documento di riconoscimento, trattandosi di una dichiarazione di responsabilità resa ai sensi del D.P.R. 445/2000.</w:t>
      </w:r>
    </w:p>
    <w:p w14:paraId="708EC5CF" w14:textId="6F3F9FA0"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lastRenderedPageBreak/>
        <w:t xml:space="preserve">La dichiarazione e la copia del documento di riconoscimento dovranno essere inviati esclusivamente </w:t>
      </w:r>
      <w:r w:rsidRPr="00513369">
        <w:rPr>
          <w:rFonts w:ascii="Titillium Web" w:hAnsi="Titillium Web"/>
          <w:b/>
          <w:bCs/>
          <w:sz w:val="24"/>
          <w:szCs w:val="24"/>
          <w:lang w:val="it-IT"/>
        </w:rPr>
        <w:t xml:space="preserve">tramite PEC entro il </w:t>
      </w:r>
      <w:r w:rsidR="00982F31">
        <w:rPr>
          <w:rFonts w:ascii="Titillium Web" w:hAnsi="Titillium Web"/>
          <w:b/>
          <w:bCs/>
          <w:sz w:val="24"/>
          <w:szCs w:val="24"/>
          <w:lang w:val="it-IT"/>
        </w:rPr>
        <w:t>09</w:t>
      </w:r>
      <w:r w:rsidRPr="00513369">
        <w:rPr>
          <w:rFonts w:ascii="Titillium Web" w:hAnsi="Titillium Web"/>
          <w:b/>
          <w:bCs/>
          <w:sz w:val="24"/>
          <w:szCs w:val="24"/>
          <w:lang w:val="it-IT"/>
        </w:rPr>
        <w:t>/0</w:t>
      </w:r>
      <w:r w:rsidR="00982F31">
        <w:rPr>
          <w:rFonts w:ascii="Titillium Web" w:hAnsi="Titillium Web"/>
          <w:b/>
          <w:bCs/>
          <w:sz w:val="24"/>
          <w:szCs w:val="24"/>
          <w:lang w:val="it-IT"/>
        </w:rPr>
        <w:t>1</w:t>
      </w:r>
      <w:r w:rsidRPr="00513369">
        <w:rPr>
          <w:rFonts w:ascii="Titillium Web" w:hAnsi="Titillium Web"/>
          <w:b/>
          <w:bCs/>
          <w:sz w:val="24"/>
          <w:szCs w:val="24"/>
          <w:lang w:val="it-IT"/>
        </w:rPr>
        <w:t>/202</w:t>
      </w:r>
      <w:r w:rsidR="00982F31">
        <w:rPr>
          <w:rFonts w:ascii="Titillium Web" w:hAnsi="Titillium Web"/>
          <w:b/>
          <w:bCs/>
          <w:sz w:val="24"/>
          <w:szCs w:val="24"/>
          <w:lang w:val="it-IT"/>
        </w:rPr>
        <w:t>4</w:t>
      </w:r>
      <w:r w:rsidRPr="00416377">
        <w:rPr>
          <w:rFonts w:ascii="Titillium Web" w:hAnsi="Titillium Web"/>
          <w:sz w:val="24"/>
          <w:szCs w:val="24"/>
          <w:lang w:val="it-IT"/>
        </w:rPr>
        <w:t xml:space="preserve"> al seguente indirizzo:</w:t>
      </w:r>
    </w:p>
    <w:p w14:paraId="30477F1A" w14:textId="1EA5336C" w:rsidR="00416377" w:rsidRDefault="00681165" w:rsidP="00513369">
      <w:pPr>
        <w:spacing w:line="360" w:lineRule="auto"/>
        <w:ind w:firstLine="708"/>
        <w:jc w:val="center"/>
        <w:rPr>
          <w:rFonts w:ascii="Titillium Web" w:hAnsi="Titillium Web"/>
          <w:sz w:val="24"/>
          <w:szCs w:val="24"/>
          <w:lang w:val="it-IT"/>
        </w:rPr>
      </w:pPr>
      <w:hyperlink r:id="rId7" w:history="1">
        <w:r w:rsidR="00513369" w:rsidRPr="00A246AC">
          <w:rPr>
            <w:rStyle w:val="Collegamentoipertestuale"/>
            <w:rFonts w:ascii="Titillium Web" w:hAnsi="Titillium Web"/>
            <w:sz w:val="24"/>
            <w:szCs w:val="24"/>
            <w:lang w:val="it-IT"/>
          </w:rPr>
          <w:t>direzione.provinciale.matera@postacert.inps.gov.it</w:t>
        </w:r>
      </w:hyperlink>
    </w:p>
    <w:p w14:paraId="5A620ABF" w14:textId="77777777" w:rsidR="00416377" w:rsidRPr="00416377" w:rsidRDefault="00416377" w:rsidP="00513369">
      <w:pPr>
        <w:spacing w:line="360" w:lineRule="auto"/>
        <w:jc w:val="both"/>
        <w:rPr>
          <w:rFonts w:ascii="Titillium Web" w:hAnsi="Titillium Web"/>
          <w:sz w:val="24"/>
          <w:szCs w:val="24"/>
          <w:lang w:val="it-IT"/>
        </w:rPr>
      </w:pPr>
      <w:r w:rsidRPr="00416377">
        <w:rPr>
          <w:rFonts w:ascii="Titillium Web" w:hAnsi="Titillium Web"/>
          <w:sz w:val="24"/>
          <w:szCs w:val="24"/>
          <w:lang w:val="it-IT"/>
        </w:rPr>
        <w:t>indicando nell’oggetto la dicitura: “</w:t>
      </w:r>
      <w:proofErr w:type="spellStart"/>
      <w:r w:rsidRPr="00513369">
        <w:rPr>
          <w:rFonts w:ascii="Titillium Web" w:hAnsi="Titillium Web"/>
          <w:b/>
          <w:bCs/>
          <w:sz w:val="24"/>
          <w:szCs w:val="24"/>
          <w:lang w:val="it-IT"/>
        </w:rPr>
        <w:t>rif.</w:t>
      </w:r>
      <w:proofErr w:type="spellEnd"/>
      <w:r w:rsidRPr="00513369">
        <w:rPr>
          <w:rFonts w:ascii="Titillium Web" w:hAnsi="Titillium Web"/>
          <w:b/>
          <w:bCs/>
          <w:sz w:val="24"/>
          <w:szCs w:val="24"/>
          <w:lang w:val="it-IT"/>
        </w:rPr>
        <w:t xml:space="preserve"> Avviso pubblico per ricerca disponibilità temporanea medici per visite di controllo Direzione Provinciale di Matera e Agenzia di Policoro</w:t>
      </w:r>
      <w:r w:rsidRPr="00416377">
        <w:rPr>
          <w:rFonts w:ascii="Titillium Web" w:hAnsi="Titillium Web"/>
          <w:sz w:val="24"/>
          <w:szCs w:val="24"/>
          <w:lang w:val="it-IT"/>
        </w:rPr>
        <w:t>”.</w:t>
      </w:r>
    </w:p>
    <w:p w14:paraId="54BEAF8D" w14:textId="5532FB54" w:rsidR="00B90383"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Nella domanda l’interessato dovrà altresì dichiarare di aver preso visione delle circolari Inps n. 4 e n. 199 del 2001, e n. 86 del 2008 nonché dell’Accordo Collettivo Nazionale,</w:t>
      </w:r>
      <w:r w:rsidR="00C04AB2">
        <w:rPr>
          <w:rFonts w:ascii="Titillium Web" w:hAnsi="Titillium Web"/>
          <w:sz w:val="24"/>
          <w:szCs w:val="24"/>
          <w:lang w:val="it-IT"/>
        </w:rPr>
        <w:t xml:space="preserve"> che si allega, </w:t>
      </w:r>
      <w:r w:rsidRPr="00416377">
        <w:rPr>
          <w:rFonts w:ascii="Titillium Web" w:hAnsi="Titillium Web"/>
          <w:sz w:val="24"/>
          <w:szCs w:val="24"/>
          <w:lang w:val="it-IT"/>
        </w:rPr>
        <w:t>in particolare per ciò che</w:t>
      </w:r>
      <w:r w:rsidR="00513369">
        <w:rPr>
          <w:rFonts w:ascii="Titillium Web" w:hAnsi="Titillium Web"/>
          <w:sz w:val="24"/>
          <w:szCs w:val="24"/>
          <w:lang w:val="it-IT"/>
        </w:rPr>
        <w:t xml:space="preserve"> </w:t>
      </w:r>
      <w:r w:rsidRPr="00416377">
        <w:rPr>
          <w:rFonts w:ascii="Titillium Web" w:hAnsi="Titillium Web"/>
          <w:sz w:val="24"/>
          <w:szCs w:val="24"/>
          <w:lang w:val="it-IT"/>
        </w:rPr>
        <w:t>concerne</w:t>
      </w:r>
      <w:r w:rsidR="00B90383">
        <w:rPr>
          <w:rFonts w:ascii="Titillium Web" w:hAnsi="Titillium Web"/>
          <w:sz w:val="24"/>
          <w:szCs w:val="24"/>
          <w:lang w:val="it-IT"/>
        </w:rPr>
        <w:t>:</w:t>
      </w:r>
    </w:p>
    <w:p w14:paraId="54ABCE76" w14:textId="1CA5C7A4" w:rsidR="00B90383" w:rsidRDefault="00416377" w:rsidP="00B90383">
      <w:pPr>
        <w:pStyle w:val="Paragrafoelenco"/>
        <w:numPr>
          <w:ilvl w:val="0"/>
          <w:numId w:val="7"/>
        </w:numPr>
        <w:spacing w:line="360" w:lineRule="auto"/>
        <w:jc w:val="both"/>
        <w:rPr>
          <w:rFonts w:ascii="Titillium Web" w:hAnsi="Titillium Web"/>
          <w:sz w:val="24"/>
          <w:szCs w:val="24"/>
          <w:lang w:val="it-IT"/>
        </w:rPr>
      </w:pPr>
      <w:r w:rsidRPr="00B90383">
        <w:rPr>
          <w:rFonts w:ascii="Titillium Web" w:hAnsi="Titillium Web"/>
          <w:sz w:val="24"/>
          <w:szCs w:val="24"/>
          <w:lang w:val="it-IT"/>
        </w:rPr>
        <w:t xml:space="preserve"> l’insussistenza di cause di incompatibilità, </w:t>
      </w:r>
      <w:proofErr w:type="spellStart"/>
      <w:r w:rsidRPr="00B90383">
        <w:rPr>
          <w:rFonts w:ascii="Titillium Web" w:hAnsi="Titillium Web"/>
          <w:sz w:val="24"/>
          <w:szCs w:val="24"/>
          <w:lang w:val="it-IT"/>
        </w:rPr>
        <w:t>inco</w:t>
      </w:r>
      <w:r w:rsidR="00595C3A">
        <w:rPr>
          <w:rFonts w:ascii="Titillium Web" w:hAnsi="Titillium Web"/>
          <w:sz w:val="24"/>
          <w:szCs w:val="24"/>
          <w:lang w:val="it-IT"/>
        </w:rPr>
        <w:t>n</w:t>
      </w:r>
      <w:r w:rsidRPr="00B90383">
        <w:rPr>
          <w:rFonts w:ascii="Titillium Web" w:hAnsi="Titillium Web"/>
          <w:sz w:val="24"/>
          <w:szCs w:val="24"/>
          <w:lang w:val="it-IT"/>
        </w:rPr>
        <w:t>feribilità</w:t>
      </w:r>
      <w:proofErr w:type="spellEnd"/>
      <w:r w:rsidRPr="00B90383">
        <w:rPr>
          <w:rFonts w:ascii="Titillium Web" w:hAnsi="Titillium Web"/>
          <w:sz w:val="24"/>
          <w:szCs w:val="24"/>
          <w:lang w:val="it-IT"/>
        </w:rPr>
        <w:t xml:space="preserve"> dell’incarico di cui all’art 13 </w:t>
      </w:r>
      <w:r w:rsidR="00B90383" w:rsidRPr="00B90383">
        <w:rPr>
          <w:rFonts w:ascii="Titillium Web" w:hAnsi="Titillium Web"/>
          <w:sz w:val="24"/>
          <w:szCs w:val="24"/>
          <w:lang w:val="it-IT"/>
        </w:rPr>
        <w:t xml:space="preserve">dell’Accordo Collettivo Nazionale per la Medicina Fiscale e Convenzionata </w:t>
      </w:r>
      <w:r w:rsidRPr="00B90383">
        <w:rPr>
          <w:rFonts w:ascii="Titillium Web" w:hAnsi="Titillium Web"/>
          <w:sz w:val="24"/>
          <w:szCs w:val="24"/>
          <w:lang w:val="it-IT"/>
        </w:rPr>
        <w:t>ACN</w:t>
      </w:r>
      <w:r w:rsidR="00B90383">
        <w:rPr>
          <w:rFonts w:ascii="Titillium Web" w:hAnsi="Titillium Web"/>
          <w:sz w:val="24"/>
          <w:szCs w:val="24"/>
          <w:lang w:val="it-IT"/>
        </w:rPr>
        <w:t>;</w:t>
      </w:r>
    </w:p>
    <w:p w14:paraId="0EDC8E76" w14:textId="7D3B637C" w:rsidR="00416377" w:rsidRPr="00B90383" w:rsidRDefault="00416377" w:rsidP="00B90383">
      <w:pPr>
        <w:pStyle w:val="Paragrafoelenco"/>
        <w:numPr>
          <w:ilvl w:val="0"/>
          <w:numId w:val="7"/>
        </w:numPr>
        <w:spacing w:line="360" w:lineRule="auto"/>
        <w:jc w:val="both"/>
        <w:rPr>
          <w:rFonts w:ascii="Titillium Web" w:hAnsi="Titillium Web"/>
          <w:sz w:val="24"/>
          <w:szCs w:val="24"/>
          <w:lang w:val="it-IT"/>
        </w:rPr>
      </w:pPr>
      <w:r w:rsidRPr="00B90383">
        <w:rPr>
          <w:rFonts w:ascii="Titillium Web" w:hAnsi="Titillium Web"/>
          <w:sz w:val="24"/>
          <w:szCs w:val="24"/>
          <w:lang w:val="it-IT"/>
        </w:rPr>
        <w:t xml:space="preserve"> ed i compensi di cui all’art. 21 </w:t>
      </w:r>
      <w:r w:rsidR="00B90383">
        <w:rPr>
          <w:rFonts w:ascii="Titillium Web" w:hAnsi="Titillium Web"/>
          <w:sz w:val="24"/>
          <w:szCs w:val="24"/>
          <w:lang w:val="it-IT"/>
        </w:rPr>
        <w:t>dell’Accordo Collettivo Nazionale richiamato</w:t>
      </w:r>
      <w:r w:rsidRPr="00B90383">
        <w:rPr>
          <w:rFonts w:ascii="Titillium Web" w:hAnsi="Titillium Web"/>
          <w:sz w:val="24"/>
          <w:szCs w:val="24"/>
          <w:lang w:val="it-IT"/>
        </w:rPr>
        <w:t>.</w:t>
      </w:r>
    </w:p>
    <w:p w14:paraId="305F2E3D" w14:textId="77777777" w:rsidR="00B90383" w:rsidRDefault="00B90383" w:rsidP="00416377">
      <w:pPr>
        <w:spacing w:line="360" w:lineRule="auto"/>
        <w:ind w:firstLine="708"/>
        <w:jc w:val="both"/>
        <w:rPr>
          <w:rFonts w:ascii="Titillium Web" w:hAnsi="Titillium Web"/>
          <w:sz w:val="24"/>
          <w:szCs w:val="24"/>
          <w:lang w:val="it-IT"/>
        </w:rPr>
      </w:pPr>
    </w:p>
    <w:p w14:paraId="69B119A3" w14:textId="6A64996F" w:rsidR="00416377" w:rsidRPr="00513369" w:rsidRDefault="00416377" w:rsidP="00416377">
      <w:pPr>
        <w:spacing w:line="360" w:lineRule="auto"/>
        <w:ind w:firstLine="708"/>
        <w:jc w:val="both"/>
        <w:rPr>
          <w:rFonts w:ascii="Titillium Web" w:hAnsi="Titillium Web"/>
          <w:i/>
          <w:iCs/>
          <w:sz w:val="24"/>
          <w:szCs w:val="24"/>
          <w:lang w:val="it-IT"/>
        </w:rPr>
      </w:pPr>
      <w:r w:rsidRPr="00416377">
        <w:rPr>
          <w:rFonts w:ascii="Titillium Web" w:hAnsi="Titillium Web"/>
          <w:sz w:val="24"/>
          <w:szCs w:val="24"/>
          <w:lang w:val="it-IT"/>
        </w:rPr>
        <w:t>Le circolari sono consultabili sul sito dell’Istituto (</w:t>
      </w:r>
      <w:hyperlink r:id="rId8" w:history="1">
        <w:r w:rsidR="00513369" w:rsidRPr="00A246AC">
          <w:rPr>
            <w:rStyle w:val="Collegamentoipertestuale"/>
            <w:rFonts w:ascii="Titillium Web" w:hAnsi="Titillium Web"/>
            <w:sz w:val="24"/>
            <w:szCs w:val="24"/>
            <w:lang w:val="it-IT"/>
          </w:rPr>
          <w:t>www.inps.it</w:t>
        </w:r>
      </w:hyperlink>
      <w:r w:rsidR="00513369">
        <w:rPr>
          <w:rFonts w:ascii="Titillium Web" w:hAnsi="Titillium Web"/>
          <w:sz w:val="24"/>
          <w:szCs w:val="24"/>
          <w:lang w:val="it-IT"/>
        </w:rPr>
        <w:t xml:space="preserve"> </w:t>
      </w:r>
      <w:r w:rsidRPr="00416377">
        <w:rPr>
          <w:rFonts w:ascii="Titillium Web" w:hAnsi="Titillium Web"/>
          <w:sz w:val="24"/>
          <w:szCs w:val="24"/>
          <w:lang w:val="it-IT"/>
        </w:rPr>
        <w:t xml:space="preserve">) seguendo il percorso: </w:t>
      </w:r>
      <w:r w:rsidRPr="00513369">
        <w:rPr>
          <w:rFonts w:ascii="Titillium Web" w:hAnsi="Titillium Web"/>
          <w:i/>
          <w:iCs/>
          <w:sz w:val="24"/>
          <w:szCs w:val="24"/>
          <w:lang w:val="it-IT"/>
        </w:rPr>
        <w:t>INPS comunica/atti/circolari messaggi e normativa.</w:t>
      </w:r>
    </w:p>
    <w:p w14:paraId="6853D551"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Si precisa che la disponibilità a partecipare al presente avviso pubblico non fa insorgere alcun obbligo di assegnazione di incarico da parte dell’Inps.</w:t>
      </w:r>
    </w:p>
    <w:p w14:paraId="732B768A"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Il conferimento dell’incarico sarà comunicato all’indirizzo PEC fornito all’atto di trasmissione della domanda.</w:t>
      </w:r>
    </w:p>
    <w:p w14:paraId="656F7E79"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A tale proposito si rammenta che nessun incarico potrà essere conferito a soggetti che siano stati esonerati da analogo incarico ricoperto precedentemente in Inps.</w:t>
      </w:r>
    </w:p>
    <w:p w14:paraId="0652745F"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Gli incarichi potranno essere revocati anticipatamente rispetto alla scadenza del termine in caso di riorganizzazione del servizio di visite mediche di controllo domiciliari.</w:t>
      </w:r>
    </w:p>
    <w:p w14:paraId="2447078D" w14:textId="77777777" w:rsidR="00416377" w:rsidRPr="00416377" w:rsidRDefault="00416377" w:rsidP="00416377">
      <w:pPr>
        <w:spacing w:line="360" w:lineRule="auto"/>
        <w:ind w:firstLine="708"/>
        <w:jc w:val="both"/>
        <w:rPr>
          <w:rFonts w:ascii="Titillium Web" w:hAnsi="Titillium Web"/>
          <w:sz w:val="24"/>
          <w:szCs w:val="24"/>
          <w:lang w:val="it-IT"/>
        </w:rPr>
      </w:pPr>
    </w:p>
    <w:p w14:paraId="53F9838C"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lastRenderedPageBreak/>
        <w:t>Ai sensi del D.lgs. n. 196 del 30/06/2003 (codice in materia di protezione dei dati personali), i dati richiesti dal presente avviso pubblico o dalla modulistica allegata, saranno utilizzati esclusivamente per le finalità e nei modi previsti dall’avviso stesso e saranno oggetto di trattamento svolto nel pieno rispetto della normativa in vigore.</w:t>
      </w:r>
    </w:p>
    <w:p w14:paraId="5D8CD38B" w14:textId="77777777" w:rsidR="00416377" w:rsidRPr="00416377" w:rsidRDefault="00416377" w:rsidP="00416377">
      <w:pPr>
        <w:spacing w:line="360" w:lineRule="auto"/>
        <w:ind w:firstLine="708"/>
        <w:jc w:val="both"/>
        <w:rPr>
          <w:rFonts w:ascii="Titillium Web" w:hAnsi="Titillium Web"/>
          <w:sz w:val="24"/>
          <w:szCs w:val="24"/>
          <w:lang w:val="it-IT"/>
        </w:rPr>
      </w:pPr>
    </w:p>
    <w:p w14:paraId="7E9C522F" w14:textId="77777777" w:rsidR="00416377" w:rsidRPr="00416377" w:rsidRDefault="00416377" w:rsidP="00416377">
      <w:pPr>
        <w:spacing w:line="360" w:lineRule="auto"/>
        <w:ind w:firstLine="708"/>
        <w:jc w:val="both"/>
        <w:rPr>
          <w:rFonts w:ascii="Titillium Web" w:hAnsi="Titillium Web"/>
          <w:sz w:val="24"/>
          <w:szCs w:val="24"/>
          <w:lang w:val="it-IT"/>
        </w:rPr>
      </w:pPr>
      <w:r w:rsidRPr="00416377">
        <w:rPr>
          <w:rFonts w:ascii="Titillium Web" w:hAnsi="Titillium Web"/>
          <w:sz w:val="24"/>
          <w:szCs w:val="24"/>
          <w:lang w:val="it-IT"/>
        </w:rPr>
        <w:t>Nicola Pesce</w:t>
      </w:r>
    </w:p>
    <w:p w14:paraId="699A3D66" w14:textId="4E09DB58" w:rsidR="00F65097" w:rsidRDefault="00416377" w:rsidP="00416377">
      <w:pPr>
        <w:spacing w:line="360" w:lineRule="auto"/>
        <w:ind w:firstLine="708"/>
        <w:jc w:val="both"/>
      </w:pPr>
      <w:r w:rsidRPr="00416377">
        <w:rPr>
          <w:rFonts w:ascii="Titillium Web" w:hAnsi="Titillium Web"/>
          <w:sz w:val="24"/>
          <w:szCs w:val="24"/>
          <w:lang w:val="it-IT"/>
        </w:rPr>
        <w:t>Direttore Provinciale</w:t>
      </w:r>
    </w:p>
    <w:sectPr w:rsidR="00F65097" w:rsidSect="00AA1868">
      <w:headerReference w:type="even" r:id="rId9"/>
      <w:headerReference w:type="default" r:id="rId10"/>
      <w:footerReference w:type="even" r:id="rId11"/>
      <w:footerReference w:type="default" r:id="rId12"/>
      <w:headerReference w:type="first" r:id="rId13"/>
      <w:footerReference w:type="first" r:id="rId14"/>
      <w:type w:val="continuous"/>
      <w:pgSz w:w="11906" w:h="16838"/>
      <w:pgMar w:top="1472" w:right="1134" w:bottom="2550" w:left="1134" w:header="680"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EE9F0C" w14:textId="77777777" w:rsidR="00681165" w:rsidRDefault="00681165" w:rsidP="007D6F26">
      <w:pPr>
        <w:spacing w:line="240" w:lineRule="auto"/>
      </w:pPr>
      <w:r>
        <w:separator/>
      </w:r>
    </w:p>
  </w:endnote>
  <w:endnote w:type="continuationSeparator" w:id="0">
    <w:p w14:paraId="63B119B4" w14:textId="77777777" w:rsidR="00681165" w:rsidRDefault="00681165" w:rsidP="007D6F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embedRegular r:id="rId1" w:fontKey="{315591BA-2D66-471B-8221-E6A5F8273803}"/>
    <w:embedBold r:id="rId2" w:fontKey="{AB4826DE-5483-4C76-BD9D-9196A0CB3959}"/>
  </w:font>
  <w:font w:name="Arial">
    <w:panose1 w:val="020B0604020202020204"/>
    <w:charset w:val="00"/>
    <w:family w:val="swiss"/>
    <w:pitch w:val="variable"/>
    <w:sig w:usb0="E0002EFF" w:usb1="C000785B" w:usb2="00000009" w:usb3="00000000" w:csb0="000001FF" w:csb1="00000000"/>
  </w:font>
  <w:font w:name="Titillium Web">
    <w:altName w:val="Titillium Web"/>
    <w:panose1 w:val="00000500000000000000"/>
    <w:charset w:val="00"/>
    <w:family w:val="auto"/>
    <w:pitch w:val="variable"/>
    <w:sig w:usb0="00000007" w:usb1="00000001" w:usb2="00000000" w:usb3="00000000" w:csb0="00000093" w:csb1="00000000"/>
    <w:embedRegular r:id="rId3" w:fontKey="{85C7C330-C486-4CD0-A71A-768774F15208}"/>
    <w:embedBold r:id="rId4" w:fontKey="{59A0E931-4C4D-485A-8F58-96CB26F31871}"/>
    <w:embedItalic r:id="rId5" w:fontKey="{DBAA1125-D3FC-4EAD-AF8B-560AE984CCBD}"/>
  </w:font>
  <w:font w:name="Calibri Light">
    <w:panose1 w:val="020F0302020204030204"/>
    <w:charset w:val="00"/>
    <w:family w:val="swiss"/>
    <w:pitch w:val="variable"/>
    <w:sig w:usb0="E0002AFF" w:usb1="C000247B" w:usb2="00000009" w:usb3="00000000" w:csb0="000001FF" w:csb1="00000000"/>
    <w:embedRegular r:id="rId6" w:fontKey="{CE8E6D16-6420-4242-958B-9C04674A376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B307D" w14:textId="77777777" w:rsidR="00433BE9" w:rsidRDefault="00433BE9">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45D5D" w14:textId="55192F35" w:rsidR="007D6F26" w:rsidRDefault="007D6F26" w:rsidP="007D6F26">
    <w:pPr>
      <w:widowControl w:val="0"/>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552"/>
      <w:gridCol w:w="3067"/>
      <w:gridCol w:w="4019"/>
    </w:tblGrid>
    <w:tr w:rsidR="00C12E21" w14:paraId="05439732" w14:textId="77777777" w:rsidTr="00B44D38">
      <w:tc>
        <w:tcPr>
          <w:tcW w:w="2552" w:type="dxa"/>
          <w:tcBorders>
            <w:top w:val="single" w:sz="18" w:space="0" w:color="2D6CD2"/>
          </w:tcBorders>
        </w:tcPr>
        <w:p w14:paraId="01525FE2" w14:textId="7864A764" w:rsidR="00C12E21" w:rsidRDefault="00C12E21" w:rsidP="00C12E21">
          <w:pPr>
            <w:pStyle w:val="ParagrafoINPS"/>
            <w:rPr>
              <w:smallCaps/>
              <w:noProof/>
              <w:color w:val="4F81BD"/>
              <w:sz w:val="14"/>
              <w:szCs w:val="14"/>
            </w:rPr>
          </w:pPr>
        </w:p>
      </w:tc>
      <w:tc>
        <w:tcPr>
          <w:tcW w:w="3067" w:type="dxa"/>
          <w:tcBorders>
            <w:top w:val="single" w:sz="18" w:space="0" w:color="2D6CD2"/>
          </w:tcBorders>
        </w:tcPr>
        <w:p w14:paraId="50350A89" w14:textId="77777777" w:rsidR="00C12E21" w:rsidRPr="006F11B8" w:rsidRDefault="00C12E21" w:rsidP="00C12E21">
          <w:pPr>
            <w:tabs>
              <w:tab w:val="center" w:pos="4819"/>
              <w:tab w:val="right" w:pos="9638"/>
            </w:tabs>
            <w:spacing w:line="200" w:lineRule="exact"/>
            <w:rPr>
              <w:rFonts w:ascii="Titillium Web" w:hAnsi="Titillium Web"/>
              <w:b/>
              <w:color w:val="2F6DD5"/>
              <w:sz w:val="16"/>
              <w:szCs w:val="16"/>
              <w:lang w:val="it-IT"/>
            </w:rPr>
          </w:pPr>
        </w:p>
      </w:tc>
      <w:tc>
        <w:tcPr>
          <w:tcW w:w="4019" w:type="dxa"/>
          <w:tcBorders>
            <w:top w:val="single" w:sz="18" w:space="0" w:color="2D6CD2"/>
          </w:tcBorders>
        </w:tcPr>
        <w:p w14:paraId="1DE214C5" w14:textId="77777777" w:rsidR="00C12E21" w:rsidRDefault="00C12E21" w:rsidP="00C12E21">
          <w:pPr>
            <w:tabs>
              <w:tab w:val="center" w:pos="4819"/>
              <w:tab w:val="right" w:pos="9638"/>
            </w:tabs>
            <w:spacing w:line="200" w:lineRule="exact"/>
          </w:pPr>
        </w:p>
      </w:tc>
    </w:tr>
    <w:tr w:rsidR="00C12E21" w14:paraId="6330F03A" w14:textId="77777777" w:rsidTr="00B44D38">
      <w:tc>
        <w:tcPr>
          <w:tcW w:w="2552" w:type="dxa"/>
        </w:tcPr>
        <w:p w14:paraId="6499C4B1" w14:textId="145F9939" w:rsidR="00C12E21" w:rsidRDefault="0054562B" w:rsidP="00C12E21">
          <w:pPr>
            <w:pStyle w:val="ParagrafoINPS"/>
          </w:pPr>
          <w:r>
            <w:rPr>
              <w:smallCaps/>
              <w:noProof/>
              <w:color w:val="4F81BD"/>
              <w:sz w:val="14"/>
              <w:szCs w:val="14"/>
            </w:rPr>
            <w:drawing>
              <wp:anchor distT="0" distB="0" distL="114300" distR="114300" simplePos="0" relativeHeight="251665408" behindDoc="0" locked="0" layoutInCell="1" allowOverlap="1" wp14:anchorId="677CBE6E" wp14:editId="55620875">
                <wp:simplePos x="0" y="0"/>
                <wp:positionH relativeFrom="column">
                  <wp:posOffset>2540</wp:posOffset>
                </wp:positionH>
                <wp:positionV relativeFrom="paragraph">
                  <wp:posOffset>20320</wp:posOffset>
                </wp:positionV>
                <wp:extent cx="1478280" cy="344170"/>
                <wp:effectExtent l="0" t="0" r="0" b="0"/>
                <wp:wrapNone/>
                <wp:docPr id="13" name="Immagine 13"/>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
                          <a:extLst>
                            <a:ext uri="{28A0092B-C50C-407E-A947-70E740481C1C}">
                              <a14:useLocalDpi xmlns:a14="http://schemas.microsoft.com/office/drawing/2010/main" val="0"/>
                            </a:ext>
                          </a:extLst>
                        </a:blip>
                        <a:srcRect/>
                        <a:stretch>
                          <a:fillRect/>
                        </a:stretch>
                      </pic:blipFill>
                      <pic:spPr>
                        <a:xfrm>
                          <a:off x="0" y="0"/>
                          <a:ext cx="1478280" cy="344170"/>
                        </a:xfrm>
                        <a:prstGeom prst="rect">
                          <a:avLst/>
                        </a:prstGeom>
                        <a:ln/>
                      </pic:spPr>
                    </pic:pic>
                  </a:graphicData>
                </a:graphic>
                <wp14:sizeRelH relativeFrom="page">
                  <wp14:pctWidth>0</wp14:pctWidth>
                </wp14:sizeRelH>
                <wp14:sizeRelV relativeFrom="page">
                  <wp14:pctHeight>0</wp14:pctHeight>
                </wp14:sizeRelV>
              </wp:anchor>
            </w:drawing>
          </w:r>
        </w:p>
      </w:tc>
      <w:tc>
        <w:tcPr>
          <w:tcW w:w="3067" w:type="dxa"/>
        </w:tcPr>
        <w:p w14:paraId="25C41907" w14:textId="77777777" w:rsidR="00B44D38" w:rsidRPr="00B44D38" w:rsidRDefault="00B44D38" w:rsidP="00B44D38">
          <w:pPr>
            <w:tabs>
              <w:tab w:val="center" w:pos="4819"/>
              <w:tab w:val="right" w:pos="9638"/>
            </w:tabs>
            <w:spacing w:line="200" w:lineRule="exact"/>
            <w:rPr>
              <w:rFonts w:ascii="Titillium Web" w:hAnsi="Titillium Web"/>
              <w:b/>
              <w:color w:val="2F6DD5"/>
              <w:sz w:val="16"/>
              <w:szCs w:val="16"/>
              <w:lang w:val="it-IT"/>
            </w:rPr>
          </w:pPr>
          <w:r w:rsidRPr="00B44D38">
            <w:rPr>
              <w:rFonts w:ascii="Titillium Web" w:hAnsi="Titillium Web"/>
              <w:b/>
              <w:color w:val="2F6DD5"/>
              <w:sz w:val="16"/>
              <w:szCs w:val="16"/>
              <w:lang w:val="it-IT"/>
            </w:rPr>
            <w:t>Via Cappelluti 2/b – 75100 Matera</w:t>
          </w:r>
        </w:p>
        <w:p w14:paraId="6F00F396" w14:textId="77777777" w:rsidR="00B44D38" w:rsidRPr="00B44D38" w:rsidRDefault="00B44D38" w:rsidP="00B44D38">
          <w:pPr>
            <w:tabs>
              <w:tab w:val="center" w:pos="4819"/>
              <w:tab w:val="right" w:pos="9638"/>
            </w:tabs>
            <w:spacing w:line="200" w:lineRule="exact"/>
            <w:rPr>
              <w:rFonts w:ascii="Titillium Web" w:hAnsi="Titillium Web"/>
              <w:b/>
              <w:color w:val="2F6DD5"/>
              <w:sz w:val="16"/>
              <w:szCs w:val="16"/>
              <w:lang w:val="it-IT"/>
            </w:rPr>
          </w:pPr>
          <w:r w:rsidRPr="00B44D38">
            <w:rPr>
              <w:rFonts w:ascii="Titillium Web" w:hAnsi="Titillium Web"/>
              <w:b/>
              <w:color w:val="2F6DD5"/>
              <w:sz w:val="16"/>
              <w:szCs w:val="16"/>
              <w:lang w:val="it-IT"/>
            </w:rPr>
            <w:t xml:space="preserve">tel. +39 </w:t>
          </w:r>
          <w:proofErr w:type="gramStart"/>
          <w:r w:rsidRPr="00B44D38">
            <w:rPr>
              <w:rFonts w:ascii="Titillium Web" w:hAnsi="Titillium Web"/>
              <w:b/>
              <w:color w:val="2F6DD5"/>
              <w:sz w:val="16"/>
              <w:szCs w:val="16"/>
              <w:lang w:val="it-IT"/>
            </w:rPr>
            <w:t>0835  334612</w:t>
          </w:r>
          <w:proofErr w:type="gramEnd"/>
        </w:p>
        <w:p w14:paraId="5B6122A1" w14:textId="128DBDBA" w:rsidR="0054562B" w:rsidRPr="0054562B" w:rsidRDefault="00B44D38" w:rsidP="00B44D38">
          <w:pPr>
            <w:pStyle w:val="ParagrafoINPS"/>
            <w:spacing w:line="200" w:lineRule="exact"/>
            <w:rPr>
              <w:b/>
              <w:color w:val="2F6DD5"/>
              <w:sz w:val="16"/>
              <w:szCs w:val="16"/>
            </w:rPr>
          </w:pPr>
          <w:r w:rsidRPr="00B44D38">
            <w:rPr>
              <w:b/>
              <w:color w:val="2F6DD5"/>
              <w:sz w:val="16"/>
              <w:szCs w:val="16"/>
            </w:rPr>
            <w:t xml:space="preserve">cod. </w:t>
          </w:r>
          <w:proofErr w:type="spellStart"/>
          <w:r w:rsidRPr="00B44D38">
            <w:rPr>
              <w:b/>
              <w:color w:val="2F6DD5"/>
              <w:sz w:val="16"/>
              <w:szCs w:val="16"/>
            </w:rPr>
            <w:t>fisc</w:t>
          </w:r>
          <w:proofErr w:type="spellEnd"/>
          <w:r w:rsidRPr="00B44D38">
            <w:rPr>
              <w:b/>
              <w:color w:val="2F6DD5"/>
              <w:sz w:val="16"/>
              <w:szCs w:val="16"/>
            </w:rPr>
            <w:t xml:space="preserve">.: 80078750587 </w:t>
          </w:r>
          <w:proofErr w:type="spellStart"/>
          <w:r w:rsidRPr="00B44D38">
            <w:rPr>
              <w:b/>
              <w:color w:val="2F6DD5"/>
              <w:sz w:val="16"/>
              <w:szCs w:val="16"/>
            </w:rPr>
            <w:t>p.iva</w:t>
          </w:r>
          <w:proofErr w:type="spellEnd"/>
          <w:r w:rsidRPr="00B44D38">
            <w:rPr>
              <w:b/>
              <w:color w:val="2F6DD5"/>
              <w:sz w:val="16"/>
              <w:szCs w:val="16"/>
            </w:rPr>
            <w:t>: 02121151001</w:t>
          </w:r>
        </w:p>
      </w:tc>
      <w:tc>
        <w:tcPr>
          <w:tcW w:w="4019" w:type="dxa"/>
        </w:tcPr>
        <w:p w14:paraId="656EB55F" w14:textId="39CB1BED" w:rsidR="0054562B" w:rsidRPr="0054562B" w:rsidRDefault="00B44D38" w:rsidP="0054562B">
          <w:pPr>
            <w:pStyle w:val="ParagrafoINPS"/>
            <w:spacing w:line="200" w:lineRule="exact"/>
            <w:rPr>
              <w:b/>
              <w:color w:val="1155CC"/>
              <w:sz w:val="16"/>
              <w:szCs w:val="16"/>
              <w:u w:val="single"/>
            </w:rPr>
          </w:pPr>
          <w:r w:rsidRPr="00B44D38">
            <w:rPr>
              <w:b/>
              <w:color w:val="2F6DD5"/>
              <w:sz w:val="18"/>
              <w:szCs w:val="18"/>
            </w:rPr>
            <w:t>Direzione.provinciale.matera@postacert.inps.gov.it</w:t>
          </w:r>
          <w:r w:rsidRPr="00B44D38">
            <w:rPr>
              <w:b/>
              <w:color w:val="2F6DD5"/>
              <w:sz w:val="18"/>
              <w:szCs w:val="18"/>
            </w:rPr>
            <w:br/>
            <w:t>direzione.matera@inps.it</w:t>
          </w:r>
          <w:r w:rsidRPr="00B44D38">
            <w:rPr>
              <w:b/>
              <w:color w:val="2F6DD5"/>
              <w:sz w:val="18"/>
              <w:szCs w:val="18"/>
            </w:rPr>
            <w:br/>
            <w:t>www.inps.it</w:t>
          </w:r>
        </w:p>
      </w:tc>
    </w:tr>
  </w:tbl>
  <w:p w14:paraId="6E791194" w14:textId="2B29A9D2" w:rsidR="007D6F26" w:rsidRPr="007D6F26" w:rsidRDefault="007D6F26" w:rsidP="007D6F26">
    <w:pPr>
      <w:tabs>
        <w:tab w:val="left" w:pos="3705"/>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EE4BD" w14:textId="77777777" w:rsidR="00C12E21" w:rsidRDefault="00C12E21" w:rsidP="00C12E21">
    <w:pPr>
      <w:pStyle w:val="ParagrafoINPS"/>
      <w:rPr>
        <w:szCs w:val="22"/>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678"/>
      <w:gridCol w:w="136"/>
      <w:gridCol w:w="4814"/>
    </w:tblGrid>
    <w:tr w:rsidR="00C12E21" w14:paraId="523FB155" w14:textId="77777777" w:rsidTr="0054562B">
      <w:tc>
        <w:tcPr>
          <w:tcW w:w="4814" w:type="dxa"/>
          <w:gridSpan w:val="2"/>
          <w:tcBorders>
            <w:top w:val="single" w:sz="18" w:space="0" w:color="2D6CD2"/>
          </w:tcBorders>
        </w:tcPr>
        <w:p w14:paraId="0CDA0CDE" w14:textId="77777777" w:rsidR="00C12E21" w:rsidRPr="006F11B8" w:rsidRDefault="00C12E21" w:rsidP="00C12E21">
          <w:pPr>
            <w:pBdr>
              <w:top w:val="nil"/>
              <w:left w:val="nil"/>
              <w:bottom w:val="nil"/>
              <w:right w:val="nil"/>
              <w:between w:val="nil"/>
            </w:pBdr>
            <w:tabs>
              <w:tab w:val="center" w:pos="4819"/>
              <w:tab w:val="right" w:pos="9638"/>
            </w:tabs>
            <w:spacing w:line="240" w:lineRule="exact"/>
            <w:rPr>
              <w:rFonts w:ascii="Titillium Web" w:hAnsi="Titillium Web"/>
              <w:b/>
              <w:color w:val="2F6DD5"/>
              <w:sz w:val="20"/>
              <w:szCs w:val="20"/>
              <w:lang w:val="it-IT"/>
            </w:rPr>
          </w:pPr>
          <w:bookmarkStart w:id="0" w:name="_Hlk129186777"/>
        </w:p>
      </w:tc>
      <w:tc>
        <w:tcPr>
          <w:tcW w:w="4814" w:type="dxa"/>
          <w:tcBorders>
            <w:top w:val="single" w:sz="18" w:space="0" w:color="2D6CD2"/>
          </w:tcBorders>
        </w:tcPr>
        <w:p w14:paraId="242C4AD6" w14:textId="77777777" w:rsidR="00C12E21" w:rsidRDefault="00C12E21" w:rsidP="00C12E21">
          <w:pPr>
            <w:pBdr>
              <w:top w:val="nil"/>
              <w:left w:val="nil"/>
              <w:bottom w:val="nil"/>
              <w:right w:val="nil"/>
              <w:between w:val="nil"/>
            </w:pBdr>
            <w:tabs>
              <w:tab w:val="center" w:pos="4819"/>
              <w:tab w:val="right" w:pos="9638"/>
            </w:tabs>
            <w:spacing w:line="240" w:lineRule="exact"/>
          </w:pPr>
        </w:p>
      </w:tc>
    </w:tr>
    <w:tr w:rsidR="00C12E21" w:rsidRPr="00433BE9" w14:paraId="4F142C38" w14:textId="77777777" w:rsidTr="0054562B">
      <w:tc>
        <w:tcPr>
          <w:tcW w:w="4678" w:type="dxa"/>
        </w:tcPr>
        <w:p w14:paraId="2435A932" w14:textId="77777777" w:rsidR="00433BE9" w:rsidRPr="00433BE9" w:rsidRDefault="00433BE9" w:rsidP="00433BE9">
          <w:pPr>
            <w:pBdr>
              <w:top w:val="nil"/>
              <w:left w:val="nil"/>
              <w:bottom w:val="nil"/>
              <w:right w:val="nil"/>
              <w:between w:val="nil"/>
            </w:pBdr>
            <w:tabs>
              <w:tab w:val="center" w:pos="4819"/>
              <w:tab w:val="right" w:pos="9638"/>
            </w:tabs>
            <w:spacing w:line="240" w:lineRule="exact"/>
            <w:rPr>
              <w:rFonts w:ascii="Titillium Web" w:hAnsi="Titillium Web"/>
              <w:b/>
              <w:color w:val="2F6DD5"/>
              <w:sz w:val="20"/>
              <w:szCs w:val="20"/>
              <w:lang w:val="it-IT"/>
            </w:rPr>
          </w:pPr>
          <w:r w:rsidRPr="00433BE9">
            <w:rPr>
              <w:rFonts w:ascii="Titillium Web" w:hAnsi="Titillium Web"/>
              <w:b/>
              <w:color w:val="2F6DD5"/>
              <w:sz w:val="20"/>
              <w:szCs w:val="20"/>
              <w:lang w:val="it-IT"/>
            </w:rPr>
            <w:t>Via Cappelluti 2/b – 75100 Matera</w:t>
          </w:r>
        </w:p>
        <w:p w14:paraId="6A2D0714" w14:textId="39A89D62" w:rsidR="00C12E21" w:rsidRPr="006F11B8" w:rsidRDefault="00433BE9" w:rsidP="00433BE9">
          <w:pPr>
            <w:pBdr>
              <w:top w:val="nil"/>
              <w:left w:val="nil"/>
              <w:bottom w:val="nil"/>
              <w:right w:val="nil"/>
              <w:between w:val="nil"/>
            </w:pBdr>
            <w:tabs>
              <w:tab w:val="center" w:pos="4819"/>
              <w:tab w:val="right" w:pos="9638"/>
            </w:tabs>
            <w:spacing w:line="240" w:lineRule="exact"/>
            <w:rPr>
              <w:rFonts w:ascii="Titillium Web" w:hAnsi="Titillium Web"/>
              <w:b/>
              <w:color w:val="2F6DD5"/>
              <w:sz w:val="20"/>
              <w:szCs w:val="20"/>
              <w:lang w:val="it-IT"/>
            </w:rPr>
          </w:pPr>
          <w:r w:rsidRPr="00433BE9">
            <w:rPr>
              <w:rFonts w:ascii="Titillium Web" w:hAnsi="Titillium Web"/>
              <w:b/>
              <w:color w:val="2F6DD5"/>
              <w:sz w:val="20"/>
              <w:szCs w:val="20"/>
              <w:lang w:val="it-IT"/>
            </w:rPr>
            <w:t xml:space="preserve">tel. +39 </w:t>
          </w:r>
          <w:proofErr w:type="gramStart"/>
          <w:r w:rsidRPr="00433BE9">
            <w:rPr>
              <w:rFonts w:ascii="Titillium Web" w:hAnsi="Titillium Web"/>
              <w:b/>
              <w:color w:val="2F6DD5"/>
              <w:sz w:val="20"/>
              <w:szCs w:val="20"/>
              <w:lang w:val="it-IT"/>
            </w:rPr>
            <w:t>0835  334612</w:t>
          </w:r>
          <w:proofErr w:type="gramEnd"/>
        </w:p>
        <w:p w14:paraId="5C758B11" w14:textId="77777777" w:rsidR="00C12E21" w:rsidRDefault="00C12E21" w:rsidP="00C12E21">
          <w:pPr>
            <w:pStyle w:val="ParagrafoINPS"/>
          </w:pPr>
          <w:r w:rsidRPr="006F11B8">
            <w:rPr>
              <w:b/>
              <w:color w:val="2F6DD5"/>
              <w:sz w:val="20"/>
              <w:szCs w:val="20"/>
            </w:rPr>
            <w:t xml:space="preserve">cod. </w:t>
          </w:r>
          <w:proofErr w:type="spellStart"/>
          <w:r w:rsidRPr="006F11B8">
            <w:rPr>
              <w:b/>
              <w:color w:val="2F6DD5"/>
              <w:sz w:val="20"/>
              <w:szCs w:val="20"/>
            </w:rPr>
            <w:t>fisc</w:t>
          </w:r>
          <w:proofErr w:type="spellEnd"/>
          <w:r w:rsidRPr="006F11B8">
            <w:rPr>
              <w:b/>
              <w:color w:val="2F6DD5"/>
              <w:sz w:val="20"/>
              <w:szCs w:val="20"/>
            </w:rPr>
            <w:t xml:space="preserve">.: 80078750587 </w:t>
          </w:r>
          <w:proofErr w:type="spellStart"/>
          <w:r w:rsidRPr="006F11B8">
            <w:rPr>
              <w:b/>
              <w:color w:val="2F6DD5"/>
              <w:sz w:val="20"/>
              <w:szCs w:val="20"/>
            </w:rPr>
            <w:t>p.iva</w:t>
          </w:r>
          <w:proofErr w:type="spellEnd"/>
          <w:r w:rsidRPr="006F11B8">
            <w:rPr>
              <w:b/>
              <w:color w:val="2F6DD5"/>
              <w:sz w:val="20"/>
              <w:szCs w:val="20"/>
            </w:rPr>
            <w:t>: 02121151001</w:t>
          </w:r>
        </w:p>
      </w:tc>
      <w:tc>
        <w:tcPr>
          <w:tcW w:w="4950" w:type="dxa"/>
          <w:gridSpan w:val="2"/>
        </w:tcPr>
        <w:p w14:paraId="2464EE3C" w14:textId="0A1639D1" w:rsidR="00C12E21" w:rsidRPr="00433BE9" w:rsidRDefault="00433BE9" w:rsidP="00C12E21">
          <w:pPr>
            <w:pBdr>
              <w:top w:val="nil"/>
              <w:left w:val="nil"/>
              <w:bottom w:val="nil"/>
              <w:right w:val="nil"/>
              <w:between w:val="nil"/>
            </w:pBdr>
            <w:tabs>
              <w:tab w:val="center" w:pos="4819"/>
              <w:tab w:val="right" w:pos="9638"/>
            </w:tabs>
            <w:spacing w:line="240" w:lineRule="exact"/>
            <w:rPr>
              <w:rFonts w:ascii="Titillium Web" w:hAnsi="Titillium Web"/>
              <w:b/>
              <w:color w:val="2F6DD5"/>
              <w:sz w:val="20"/>
              <w:szCs w:val="20"/>
              <w:lang w:val="it-IT"/>
            </w:rPr>
          </w:pPr>
          <w:r w:rsidRPr="00433BE9">
            <w:rPr>
              <w:rFonts w:ascii="Titillium Web" w:hAnsi="Titillium Web"/>
              <w:b/>
              <w:color w:val="2F6DD5"/>
              <w:sz w:val="20"/>
              <w:szCs w:val="20"/>
              <w:lang w:val="it-IT"/>
            </w:rPr>
            <w:t>Direzione.provinciale.matera@postacert.inps.gov.it</w:t>
          </w:r>
          <w:r w:rsidR="00C12E21" w:rsidRPr="00C12E21">
            <w:rPr>
              <w:rFonts w:ascii="Titillium Web" w:hAnsi="Titillium Web"/>
              <w:b/>
              <w:color w:val="2F6DD5"/>
              <w:sz w:val="20"/>
              <w:szCs w:val="20"/>
              <w:lang w:val="it-IT"/>
            </w:rPr>
            <w:br/>
          </w:r>
          <w:r w:rsidRPr="00433BE9">
            <w:rPr>
              <w:rFonts w:ascii="Titillium Web" w:hAnsi="Titillium Web"/>
              <w:b/>
              <w:color w:val="2F6DD5"/>
              <w:sz w:val="20"/>
              <w:szCs w:val="20"/>
              <w:lang w:val="it-IT"/>
            </w:rPr>
            <w:t>direzione.matera@inps.it</w:t>
          </w:r>
          <w:r w:rsidR="00C12E21" w:rsidRPr="00C12E21">
            <w:rPr>
              <w:rFonts w:ascii="Titillium Web" w:hAnsi="Titillium Web"/>
              <w:b/>
              <w:color w:val="2F6DD5"/>
              <w:sz w:val="20"/>
              <w:szCs w:val="20"/>
              <w:lang w:val="it-IT"/>
            </w:rPr>
            <w:br/>
            <w:t>www.inps.it</w:t>
          </w:r>
        </w:p>
      </w:tc>
    </w:tr>
    <w:bookmarkEnd w:id="0"/>
  </w:tbl>
  <w:p w14:paraId="1C1FD572" w14:textId="77777777" w:rsidR="007D6F26" w:rsidRPr="00C12E21" w:rsidRDefault="007D6F26" w:rsidP="00C12E21">
    <w:pPr>
      <w:pStyle w:val="Pidipagina"/>
      <w:rPr>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F34990" w14:textId="77777777" w:rsidR="00681165" w:rsidRDefault="00681165" w:rsidP="007D6F26">
      <w:pPr>
        <w:spacing w:line="240" w:lineRule="auto"/>
      </w:pPr>
      <w:r>
        <w:separator/>
      </w:r>
    </w:p>
  </w:footnote>
  <w:footnote w:type="continuationSeparator" w:id="0">
    <w:p w14:paraId="6F5FFB12" w14:textId="77777777" w:rsidR="00681165" w:rsidRDefault="00681165" w:rsidP="007D6F2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ED67A" w14:textId="77777777" w:rsidR="00433BE9" w:rsidRDefault="00433BE9">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gliatabella"/>
      <w:tblW w:w="0" w:type="auto"/>
      <w:tblLook w:val="04A0" w:firstRow="1" w:lastRow="0" w:firstColumn="1" w:lastColumn="0" w:noHBand="0" w:noVBand="1"/>
    </w:tblPr>
    <w:tblGrid>
      <w:gridCol w:w="4814"/>
      <w:gridCol w:w="4814"/>
    </w:tblGrid>
    <w:tr w:rsidR="00C12E21" w:rsidRPr="00C12E21" w14:paraId="16C16CAA" w14:textId="77777777" w:rsidTr="00A45446">
      <w:trPr>
        <w:trHeight w:val="45"/>
      </w:trPr>
      <w:tc>
        <w:tcPr>
          <w:tcW w:w="4814" w:type="dxa"/>
          <w:tcBorders>
            <w:top w:val="single" w:sz="18" w:space="0" w:color="2D6CD2"/>
            <w:left w:val="nil"/>
            <w:bottom w:val="nil"/>
            <w:right w:val="nil"/>
          </w:tcBorders>
        </w:tcPr>
        <w:p w14:paraId="30563453" w14:textId="77777777" w:rsidR="00C12E21" w:rsidRPr="006F11B8" w:rsidRDefault="00C12E21" w:rsidP="00C12E21">
          <w:pPr>
            <w:pBdr>
              <w:top w:val="nil"/>
              <w:left w:val="nil"/>
              <w:bottom w:val="nil"/>
              <w:right w:val="nil"/>
              <w:between w:val="nil"/>
            </w:pBdr>
            <w:tabs>
              <w:tab w:val="center" w:pos="4819"/>
              <w:tab w:val="right" w:pos="9638"/>
            </w:tabs>
            <w:spacing w:line="240" w:lineRule="exact"/>
            <w:rPr>
              <w:rFonts w:ascii="Titillium Web" w:hAnsi="Titillium Web"/>
              <w:b/>
              <w:color w:val="2F6DD5"/>
              <w:sz w:val="20"/>
              <w:szCs w:val="20"/>
              <w:lang w:val="it-IT"/>
            </w:rPr>
          </w:pPr>
        </w:p>
      </w:tc>
      <w:tc>
        <w:tcPr>
          <w:tcW w:w="4814" w:type="dxa"/>
          <w:tcBorders>
            <w:top w:val="single" w:sz="18" w:space="0" w:color="2D6CD2"/>
            <w:left w:val="nil"/>
            <w:bottom w:val="nil"/>
            <w:right w:val="nil"/>
          </w:tcBorders>
        </w:tcPr>
        <w:p w14:paraId="762223B9" w14:textId="77777777" w:rsidR="00C12E21" w:rsidRPr="00C12E21" w:rsidRDefault="00C12E21" w:rsidP="00C12E21">
          <w:pPr>
            <w:pBdr>
              <w:top w:val="nil"/>
              <w:left w:val="nil"/>
              <w:bottom w:val="nil"/>
              <w:right w:val="nil"/>
              <w:between w:val="nil"/>
            </w:pBdr>
            <w:tabs>
              <w:tab w:val="center" w:pos="4819"/>
              <w:tab w:val="right" w:pos="9638"/>
            </w:tabs>
            <w:spacing w:line="240" w:lineRule="exact"/>
            <w:rPr>
              <w:rFonts w:ascii="Titillium Web" w:hAnsi="Titillium Web"/>
              <w:b/>
              <w:color w:val="2F6DD5"/>
              <w:sz w:val="20"/>
              <w:szCs w:val="20"/>
              <w:lang w:val="it-IT"/>
            </w:rPr>
          </w:pPr>
        </w:p>
      </w:tc>
    </w:tr>
  </w:tbl>
  <w:p w14:paraId="5B58B0C0" w14:textId="14B64A89" w:rsidR="007D6F26" w:rsidRPr="007D6F26" w:rsidRDefault="007D6F26" w:rsidP="007D6F26">
    <w:pPr>
      <w:pBdr>
        <w:top w:val="nil"/>
        <w:left w:val="nil"/>
        <w:bottom w:val="nil"/>
        <w:right w:val="nil"/>
        <w:between w:val="nil"/>
      </w:pBdr>
      <w:tabs>
        <w:tab w:val="center" w:pos="4819"/>
        <w:tab w:val="right" w:pos="9638"/>
      </w:tabs>
      <w:spacing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073F86" w14:textId="1A28FE19" w:rsidR="00FA795D" w:rsidRPr="0038145E" w:rsidRDefault="00FA795D" w:rsidP="007D6F26">
    <w:pPr>
      <w:spacing w:line="240" w:lineRule="exact"/>
      <w:rPr>
        <w:rFonts w:ascii="Titillium Web" w:hAnsi="Titillium Web"/>
        <w:b/>
        <w:color w:val="2F6DD5"/>
        <w:sz w:val="20"/>
        <w:szCs w:val="20"/>
        <w:lang w:val="it-IT"/>
      </w:rPr>
    </w:pPr>
    <w:r w:rsidRPr="006F11B8">
      <w:rPr>
        <w:rFonts w:ascii="Titillium Web" w:hAnsi="Titillium Web"/>
        <w:noProof/>
        <w:color w:val="0070C0"/>
      </w:rPr>
      <w:drawing>
        <wp:anchor distT="114300" distB="114300" distL="114300" distR="114300" simplePos="0" relativeHeight="251664384" behindDoc="1" locked="0" layoutInCell="1" hidden="0" allowOverlap="1" wp14:anchorId="240E4F73" wp14:editId="562A8E9E">
          <wp:simplePos x="0" y="0"/>
          <wp:positionH relativeFrom="page">
            <wp:posOffset>691376</wp:posOffset>
          </wp:positionH>
          <wp:positionV relativeFrom="page">
            <wp:posOffset>367990</wp:posOffset>
          </wp:positionV>
          <wp:extent cx="714375" cy="1026285"/>
          <wp:effectExtent l="0" t="0" r="0" b="0"/>
          <wp:wrapThrough wrapText="bothSides">
            <wp:wrapPolygon edited="0">
              <wp:start x="2304" y="802"/>
              <wp:lineTo x="768" y="1871"/>
              <wp:lineTo x="768" y="12297"/>
              <wp:lineTo x="2688" y="14168"/>
              <wp:lineTo x="4992" y="14168"/>
              <wp:lineTo x="3072" y="15505"/>
              <wp:lineTo x="2688" y="16574"/>
              <wp:lineTo x="3840" y="18446"/>
              <wp:lineTo x="6912" y="20050"/>
              <wp:lineTo x="7296" y="20584"/>
              <wp:lineTo x="13824" y="20584"/>
              <wp:lineTo x="14208" y="20050"/>
              <wp:lineTo x="16896" y="18446"/>
              <wp:lineTo x="18432" y="16842"/>
              <wp:lineTo x="17280" y="15505"/>
              <wp:lineTo x="13440" y="14168"/>
              <wp:lineTo x="16512" y="14168"/>
              <wp:lineTo x="19968" y="11762"/>
              <wp:lineTo x="19968" y="7218"/>
              <wp:lineTo x="16896" y="5614"/>
              <wp:lineTo x="19200" y="5614"/>
              <wp:lineTo x="20736" y="5079"/>
              <wp:lineTo x="19968" y="802"/>
              <wp:lineTo x="2304" y="802"/>
            </wp:wrapPolygon>
          </wp:wrapThrough>
          <wp:docPr id="14" name="Immagine 14"/>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l="20751" t="14977" r="20751" b="14977"/>
                  <a:stretch>
                    <a:fillRect/>
                  </a:stretch>
                </pic:blipFill>
                <pic:spPr>
                  <a:xfrm>
                    <a:off x="0" y="0"/>
                    <a:ext cx="714375" cy="1026285"/>
                  </a:xfrm>
                  <a:prstGeom prst="rect">
                    <a:avLst/>
                  </a:prstGeom>
                  <a:ln/>
                </pic:spPr>
              </pic:pic>
            </a:graphicData>
          </a:graphic>
          <wp14:sizeRelH relativeFrom="margin">
            <wp14:pctWidth>0</wp14:pctWidth>
          </wp14:sizeRelH>
          <wp14:sizeRelV relativeFrom="margin">
            <wp14:pctHeight>0</wp14:pctHeight>
          </wp14:sizeRelV>
        </wp:anchor>
      </w:drawing>
    </w:r>
  </w:p>
  <w:tbl>
    <w:tblPr>
      <w:tblStyle w:val="Grigliatabella"/>
      <w:tblW w:w="8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8345"/>
    </w:tblGrid>
    <w:tr w:rsidR="00FA795D" w:rsidRPr="00FA795D" w14:paraId="41DBE3D3" w14:textId="77777777" w:rsidTr="0054562B">
      <w:trPr>
        <w:trHeight w:val="326"/>
      </w:trPr>
      <w:tc>
        <w:tcPr>
          <w:tcW w:w="8345" w:type="dxa"/>
          <w:tcBorders>
            <w:top w:val="single" w:sz="18" w:space="0" w:color="2D6CD2"/>
          </w:tcBorders>
        </w:tcPr>
        <w:p w14:paraId="221CB1C0" w14:textId="133F14E2" w:rsidR="00FA795D" w:rsidRPr="00FA795D" w:rsidRDefault="00FA795D" w:rsidP="00FA795D">
          <w:pPr>
            <w:pStyle w:val="SottotitoloINPS"/>
            <w:rPr>
              <w:sz w:val="8"/>
              <w:szCs w:val="8"/>
            </w:rPr>
          </w:pPr>
        </w:p>
      </w:tc>
    </w:tr>
    <w:tr w:rsidR="00FA795D" w:rsidRPr="00AA1868" w14:paraId="7AA76539" w14:textId="77777777" w:rsidTr="0054562B">
      <w:trPr>
        <w:trHeight w:val="114"/>
      </w:trPr>
      <w:tc>
        <w:tcPr>
          <w:tcW w:w="8345" w:type="dxa"/>
        </w:tcPr>
        <w:p w14:paraId="2BBFDDA9" w14:textId="29010CD8" w:rsidR="00FA795D" w:rsidRPr="00C12E21" w:rsidRDefault="00FA795D" w:rsidP="00FA795D">
          <w:pPr>
            <w:spacing w:line="240" w:lineRule="exact"/>
            <w:rPr>
              <w:rFonts w:ascii="Titillium Web" w:hAnsi="Titillium Web"/>
              <w:b/>
              <w:color w:val="2F6DD5"/>
              <w:sz w:val="20"/>
              <w:szCs w:val="20"/>
              <w:lang w:val="it-IT"/>
            </w:rPr>
          </w:pPr>
          <w:r>
            <w:rPr>
              <w:rFonts w:ascii="Titillium Web" w:hAnsi="Titillium Web"/>
              <w:b/>
              <w:color w:val="2F6DD5"/>
              <w:sz w:val="20"/>
              <w:szCs w:val="20"/>
              <w:lang w:val="it-IT"/>
            </w:rPr>
            <w:t>D</w:t>
          </w:r>
          <w:r w:rsidRPr="0038145E">
            <w:rPr>
              <w:rFonts w:ascii="Titillium Web" w:hAnsi="Titillium Web"/>
              <w:b/>
              <w:color w:val="2F6DD5"/>
              <w:sz w:val="20"/>
              <w:szCs w:val="20"/>
              <w:lang w:val="it-IT"/>
            </w:rPr>
            <w:t xml:space="preserve">irezione </w:t>
          </w:r>
          <w:r w:rsidR="00433BE9">
            <w:rPr>
              <w:rFonts w:ascii="Titillium Web" w:hAnsi="Titillium Web"/>
              <w:b/>
              <w:color w:val="2F6DD5"/>
              <w:sz w:val="20"/>
              <w:szCs w:val="20"/>
              <w:lang w:val="it-IT"/>
            </w:rPr>
            <w:t>Provinciale Matera</w:t>
          </w:r>
        </w:p>
      </w:tc>
    </w:tr>
  </w:tbl>
  <w:p w14:paraId="33976FAA" w14:textId="77777777" w:rsidR="007D6F26" w:rsidRPr="007D6F26" w:rsidRDefault="007D6F26">
    <w:pPr>
      <w:pStyle w:val="Intestazione"/>
      <w:rPr>
        <w:lang w:val="it-I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5pt;height:11.5pt" o:bullet="t">
        <v:imagedata r:id="rId1" o:title="mso4F0A"/>
      </v:shape>
    </w:pict>
  </w:numPicBullet>
  <w:abstractNum w:abstractNumId="0" w15:restartNumberingAfterBreak="0">
    <w:nsid w:val="00FD290A"/>
    <w:multiLevelType w:val="hybridMultilevel"/>
    <w:tmpl w:val="265AC984"/>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1AD5FA2"/>
    <w:multiLevelType w:val="hybridMultilevel"/>
    <w:tmpl w:val="1F568688"/>
    <w:lvl w:ilvl="0" w:tplc="04100007">
      <w:start w:val="1"/>
      <w:numFmt w:val="bullet"/>
      <w:lvlText w:val=""/>
      <w:lvlPicBulletId w:val="0"/>
      <w:lvlJc w:val="left"/>
      <w:pPr>
        <w:ind w:left="2130" w:hanging="360"/>
      </w:pPr>
      <w:rPr>
        <w:rFonts w:ascii="Symbol" w:hAnsi="Symbol" w:hint="default"/>
      </w:rPr>
    </w:lvl>
    <w:lvl w:ilvl="1" w:tplc="04100003" w:tentative="1">
      <w:start w:val="1"/>
      <w:numFmt w:val="bullet"/>
      <w:lvlText w:val="o"/>
      <w:lvlJc w:val="left"/>
      <w:pPr>
        <w:ind w:left="2850" w:hanging="360"/>
      </w:pPr>
      <w:rPr>
        <w:rFonts w:ascii="Courier New" w:hAnsi="Courier New" w:cs="Courier New" w:hint="default"/>
      </w:rPr>
    </w:lvl>
    <w:lvl w:ilvl="2" w:tplc="04100005" w:tentative="1">
      <w:start w:val="1"/>
      <w:numFmt w:val="bullet"/>
      <w:lvlText w:val=""/>
      <w:lvlJc w:val="left"/>
      <w:pPr>
        <w:ind w:left="3570" w:hanging="360"/>
      </w:pPr>
      <w:rPr>
        <w:rFonts w:ascii="Wingdings" w:hAnsi="Wingdings" w:hint="default"/>
      </w:rPr>
    </w:lvl>
    <w:lvl w:ilvl="3" w:tplc="04100001" w:tentative="1">
      <w:start w:val="1"/>
      <w:numFmt w:val="bullet"/>
      <w:lvlText w:val=""/>
      <w:lvlJc w:val="left"/>
      <w:pPr>
        <w:ind w:left="4290" w:hanging="360"/>
      </w:pPr>
      <w:rPr>
        <w:rFonts w:ascii="Symbol" w:hAnsi="Symbol" w:hint="default"/>
      </w:rPr>
    </w:lvl>
    <w:lvl w:ilvl="4" w:tplc="04100003" w:tentative="1">
      <w:start w:val="1"/>
      <w:numFmt w:val="bullet"/>
      <w:lvlText w:val="o"/>
      <w:lvlJc w:val="left"/>
      <w:pPr>
        <w:ind w:left="5010" w:hanging="360"/>
      </w:pPr>
      <w:rPr>
        <w:rFonts w:ascii="Courier New" w:hAnsi="Courier New" w:cs="Courier New" w:hint="default"/>
      </w:rPr>
    </w:lvl>
    <w:lvl w:ilvl="5" w:tplc="04100005" w:tentative="1">
      <w:start w:val="1"/>
      <w:numFmt w:val="bullet"/>
      <w:lvlText w:val=""/>
      <w:lvlJc w:val="left"/>
      <w:pPr>
        <w:ind w:left="5730" w:hanging="360"/>
      </w:pPr>
      <w:rPr>
        <w:rFonts w:ascii="Wingdings" w:hAnsi="Wingdings" w:hint="default"/>
      </w:rPr>
    </w:lvl>
    <w:lvl w:ilvl="6" w:tplc="04100001" w:tentative="1">
      <w:start w:val="1"/>
      <w:numFmt w:val="bullet"/>
      <w:lvlText w:val=""/>
      <w:lvlJc w:val="left"/>
      <w:pPr>
        <w:ind w:left="6450" w:hanging="360"/>
      </w:pPr>
      <w:rPr>
        <w:rFonts w:ascii="Symbol" w:hAnsi="Symbol" w:hint="default"/>
      </w:rPr>
    </w:lvl>
    <w:lvl w:ilvl="7" w:tplc="04100003" w:tentative="1">
      <w:start w:val="1"/>
      <w:numFmt w:val="bullet"/>
      <w:lvlText w:val="o"/>
      <w:lvlJc w:val="left"/>
      <w:pPr>
        <w:ind w:left="7170" w:hanging="360"/>
      </w:pPr>
      <w:rPr>
        <w:rFonts w:ascii="Courier New" w:hAnsi="Courier New" w:cs="Courier New" w:hint="default"/>
      </w:rPr>
    </w:lvl>
    <w:lvl w:ilvl="8" w:tplc="04100005" w:tentative="1">
      <w:start w:val="1"/>
      <w:numFmt w:val="bullet"/>
      <w:lvlText w:val=""/>
      <w:lvlJc w:val="left"/>
      <w:pPr>
        <w:ind w:left="7890" w:hanging="360"/>
      </w:pPr>
      <w:rPr>
        <w:rFonts w:ascii="Wingdings" w:hAnsi="Wingdings" w:hint="default"/>
      </w:rPr>
    </w:lvl>
  </w:abstractNum>
  <w:abstractNum w:abstractNumId="2" w15:restartNumberingAfterBreak="0">
    <w:nsid w:val="21B13BB7"/>
    <w:multiLevelType w:val="hybridMultilevel"/>
    <w:tmpl w:val="78106DAE"/>
    <w:lvl w:ilvl="0" w:tplc="04100001">
      <w:start w:val="1"/>
      <w:numFmt w:val="bullet"/>
      <w:lvlText w:val=""/>
      <w:lvlJc w:val="left"/>
      <w:pPr>
        <w:ind w:left="502" w:hanging="360"/>
      </w:pPr>
      <w:rPr>
        <w:rFonts w:ascii="Symbol" w:hAnsi="Symbol" w:hint="default"/>
      </w:rPr>
    </w:lvl>
    <w:lvl w:ilvl="1" w:tplc="04100003" w:tentative="1">
      <w:start w:val="1"/>
      <w:numFmt w:val="bullet"/>
      <w:lvlText w:val="o"/>
      <w:lvlJc w:val="left"/>
      <w:pPr>
        <w:ind w:left="1222" w:hanging="360"/>
      </w:pPr>
      <w:rPr>
        <w:rFonts w:ascii="Courier New" w:hAnsi="Courier New" w:cs="Courier New" w:hint="default"/>
      </w:rPr>
    </w:lvl>
    <w:lvl w:ilvl="2" w:tplc="04100005" w:tentative="1">
      <w:start w:val="1"/>
      <w:numFmt w:val="bullet"/>
      <w:lvlText w:val=""/>
      <w:lvlJc w:val="left"/>
      <w:pPr>
        <w:ind w:left="1942" w:hanging="360"/>
      </w:pPr>
      <w:rPr>
        <w:rFonts w:ascii="Wingdings" w:hAnsi="Wingdings" w:hint="default"/>
      </w:rPr>
    </w:lvl>
    <w:lvl w:ilvl="3" w:tplc="04100001" w:tentative="1">
      <w:start w:val="1"/>
      <w:numFmt w:val="bullet"/>
      <w:lvlText w:val=""/>
      <w:lvlJc w:val="left"/>
      <w:pPr>
        <w:ind w:left="2662" w:hanging="360"/>
      </w:pPr>
      <w:rPr>
        <w:rFonts w:ascii="Symbol" w:hAnsi="Symbol" w:hint="default"/>
      </w:rPr>
    </w:lvl>
    <w:lvl w:ilvl="4" w:tplc="04100003" w:tentative="1">
      <w:start w:val="1"/>
      <w:numFmt w:val="bullet"/>
      <w:lvlText w:val="o"/>
      <w:lvlJc w:val="left"/>
      <w:pPr>
        <w:ind w:left="3382" w:hanging="360"/>
      </w:pPr>
      <w:rPr>
        <w:rFonts w:ascii="Courier New" w:hAnsi="Courier New" w:cs="Courier New" w:hint="default"/>
      </w:rPr>
    </w:lvl>
    <w:lvl w:ilvl="5" w:tplc="04100005" w:tentative="1">
      <w:start w:val="1"/>
      <w:numFmt w:val="bullet"/>
      <w:lvlText w:val=""/>
      <w:lvlJc w:val="left"/>
      <w:pPr>
        <w:ind w:left="4102" w:hanging="360"/>
      </w:pPr>
      <w:rPr>
        <w:rFonts w:ascii="Wingdings" w:hAnsi="Wingdings" w:hint="default"/>
      </w:rPr>
    </w:lvl>
    <w:lvl w:ilvl="6" w:tplc="04100001" w:tentative="1">
      <w:start w:val="1"/>
      <w:numFmt w:val="bullet"/>
      <w:lvlText w:val=""/>
      <w:lvlJc w:val="left"/>
      <w:pPr>
        <w:ind w:left="4822" w:hanging="360"/>
      </w:pPr>
      <w:rPr>
        <w:rFonts w:ascii="Symbol" w:hAnsi="Symbol" w:hint="default"/>
      </w:rPr>
    </w:lvl>
    <w:lvl w:ilvl="7" w:tplc="04100003" w:tentative="1">
      <w:start w:val="1"/>
      <w:numFmt w:val="bullet"/>
      <w:lvlText w:val="o"/>
      <w:lvlJc w:val="left"/>
      <w:pPr>
        <w:ind w:left="5542" w:hanging="360"/>
      </w:pPr>
      <w:rPr>
        <w:rFonts w:ascii="Courier New" w:hAnsi="Courier New" w:cs="Courier New" w:hint="default"/>
      </w:rPr>
    </w:lvl>
    <w:lvl w:ilvl="8" w:tplc="04100005" w:tentative="1">
      <w:start w:val="1"/>
      <w:numFmt w:val="bullet"/>
      <w:lvlText w:val=""/>
      <w:lvlJc w:val="left"/>
      <w:pPr>
        <w:ind w:left="6262" w:hanging="360"/>
      </w:pPr>
      <w:rPr>
        <w:rFonts w:ascii="Wingdings" w:hAnsi="Wingdings" w:hint="default"/>
      </w:rPr>
    </w:lvl>
  </w:abstractNum>
  <w:abstractNum w:abstractNumId="3" w15:restartNumberingAfterBreak="0">
    <w:nsid w:val="27B176BC"/>
    <w:multiLevelType w:val="hybridMultilevel"/>
    <w:tmpl w:val="50A07B02"/>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0652D07"/>
    <w:multiLevelType w:val="hybridMultilevel"/>
    <w:tmpl w:val="4418A42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6210515C"/>
    <w:multiLevelType w:val="hybridMultilevel"/>
    <w:tmpl w:val="3FC6EE6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6949517B"/>
    <w:multiLevelType w:val="hybridMultilevel"/>
    <w:tmpl w:val="B9F800F0"/>
    <w:lvl w:ilvl="0" w:tplc="D320FF3A">
      <w:numFmt w:val="bullet"/>
      <w:lvlText w:val="-"/>
      <w:lvlJc w:val="left"/>
      <w:pPr>
        <w:ind w:left="720" w:hanging="360"/>
      </w:pPr>
      <w:rPr>
        <w:rFonts w:ascii="Calibri" w:eastAsiaTheme="minorHAnsi" w:hAnsi="Calibri" w:cs="Calibri" w:hint="default"/>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5"/>
  </w:num>
  <w:num w:numId="3">
    <w:abstractNumId w:val="1"/>
  </w:num>
  <w:num w:numId="4">
    <w:abstractNumId w:val="0"/>
  </w:num>
  <w:num w:numId="5">
    <w:abstractNumId w:val="4"/>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6F26"/>
    <w:rsid w:val="0009134F"/>
    <w:rsid w:val="000B1FDB"/>
    <w:rsid w:val="000D1B33"/>
    <w:rsid w:val="00155FAD"/>
    <w:rsid w:val="00195160"/>
    <w:rsid w:val="00245E77"/>
    <w:rsid w:val="002A6B8C"/>
    <w:rsid w:val="002D3F88"/>
    <w:rsid w:val="0035387B"/>
    <w:rsid w:val="0038145E"/>
    <w:rsid w:val="003C1AD1"/>
    <w:rsid w:val="00416377"/>
    <w:rsid w:val="00431948"/>
    <w:rsid w:val="00433BE9"/>
    <w:rsid w:val="00446CC8"/>
    <w:rsid w:val="00463D67"/>
    <w:rsid w:val="004C1C78"/>
    <w:rsid w:val="00513369"/>
    <w:rsid w:val="0054562B"/>
    <w:rsid w:val="00595C3A"/>
    <w:rsid w:val="005F0F3E"/>
    <w:rsid w:val="00650700"/>
    <w:rsid w:val="00681165"/>
    <w:rsid w:val="006B6876"/>
    <w:rsid w:val="006E48D9"/>
    <w:rsid w:val="006E5950"/>
    <w:rsid w:val="007268B6"/>
    <w:rsid w:val="00743DC9"/>
    <w:rsid w:val="00767727"/>
    <w:rsid w:val="00793EFE"/>
    <w:rsid w:val="007D6F26"/>
    <w:rsid w:val="0086342C"/>
    <w:rsid w:val="008A16A5"/>
    <w:rsid w:val="008A6D77"/>
    <w:rsid w:val="008B39E1"/>
    <w:rsid w:val="00982F31"/>
    <w:rsid w:val="00AA1868"/>
    <w:rsid w:val="00AA7B39"/>
    <w:rsid w:val="00AF0C7A"/>
    <w:rsid w:val="00B44D38"/>
    <w:rsid w:val="00B63EA4"/>
    <w:rsid w:val="00B90383"/>
    <w:rsid w:val="00C0087B"/>
    <w:rsid w:val="00C04AB2"/>
    <w:rsid w:val="00C12E21"/>
    <w:rsid w:val="00C464FA"/>
    <w:rsid w:val="00C83A34"/>
    <w:rsid w:val="00CA0AB6"/>
    <w:rsid w:val="00D31264"/>
    <w:rsid w:val="00D53BFF"/>
    <w:rsid w:val="00D56987"/>
    <w:rsid w:val="00D702AC"/>
    <w:rsid w:val="00D921F0"/>
    <w:rsid w:val="00DA34C3"/>
    <w:rsid w:val="00DA6DB7"/>
    <w:rsid w:val="00E9133D"/>
    <w:rsid w:val="00EE6C1E"/>
    <w:rsid w:val="00F205ED"/>
    <w:rsid w:val="00F65097"/>
    <w:rsid w:val="00FA795D"/>
    <w:rsid w:val="00FF6A1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2AD26E"/>
  <w15:chartTrackingRefBased/>
  <w15:docId w15:val="{D7310E91-798D-D443-81B3-22385A72E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D6F26"/>
    <w:pPr>
      <w:spacing w:line="276" w:lineRule="auto"/>
    </w:pPr>
    <w:rPr>
      <w:rFonts w:ascii="Arial" w:eastAsia="Arial" w:hAnsi="Arial" w:cs="Arial"/>
      <w:sz w:val="22"/>
      <w:szCs w:val="22"/>
      <w:lang w:val="en"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ottotitoloINPS">
    <w:name w:val="Sottotitolo INPS"/>
    <w:qFormat/>
    <w:rsid w:val="007D6F26"/>
    <w:pPr>
      <w:spacing w:line="276" w:lineRule="auto"/>
    </w:pPr>
    <w:rPr>
      <w:rFonts w:ascii="Titillium Web" w:eastAsia="Arial" w:hAnsi="Titillium Web" w:cs="Arial"/>
      <w:b/>
      <w:bCs/>
      <w:lang w:eastAsia="it-IT"/>
    </w:rPr>
  </w:style>
  <w:style w:type="paragraph" w:styleId="Intestazione">
    <w:name w:val="header"/>
    <w:basedOn w:val="Normale"/>
    <w:link w:val="IntestazioneCarattere"/>
    <w:uiPriority w:val="99"/>
    <w:unhideWhenUsed/>
    <w:rsid w:val="007D6F26"/>
    <w:pPr>
      <w:tabs>
        <w:tab w:val="center" w:pos="4819"/>
        <w:tab w:val="right" w:pos="9638"/>
      </w:tabs>
    </w:pPr>
  </w:style>
  <w:style w:type="character" w:customStyle="1" w:styleId="IntestazioneCarattere">
    <w:name w:val="Intestazione Carattere"/>
    <w:basedOn w:val="Carpredefinitoparagrafo"/>
    <w:link w:val="Intestazione"/>
    <w:uiPriority w:val="99"/>
    <w:rsid w:val="007D6F26"/>
  </w:style>
  <w:style w:type="paragraph" w:styleId="Pidipagina">
    <w:name w:val="footer"/>
    <w:basedOn w:val="Normale"/>
    <w:link w:val="PidipaginaCarattere"/>
    <w:uiPriority w:val="99"/>
    <w:unhideWhenUsed/>
    <w:rsid w:val="007D6F26"/>
    <w:pPr>
      <w:tabs>
        <w:tab w:val="center" w:pos="4819"/>
        <w:tab w:val="right" w:pos="9638"/>
      </w:tabs>
    </w:pPr>
  </w:style>
  <w:style w:type="character" w:customStyle="1" w:styleId="PidipaginaCarattere">
    <w:name w:val="Piè di pagina Carattere"/>
    <w:basedOn w:val="Carpredefinitoparagrafo"/>
    <w:link w:val="Pidipagina"/>
    <w:uiPriority w:val="99"/>
    <w:rsid w:val="007D6F26"/>
  </w:style>
  <w:style w:type="paragraph" w:customStyle="1" w:styleId="ParagrafoINPS">
    <w:name w:val="Paragrafo INPS"/>
    <w:basedOn w:val="Normale"/>
    <w:autoRedefine/>
    <w:qFormat/>
    <w:rsid w:val="0086342C"/>
    <w:rPr>
      <w:rFonts w:ascii="Titillium Web" w:hAnsi="Titillium Web"/>
      <w:szCs w:val="24"/>
      <w:lang w:val="it-IT"/>
    </w:rPr>
  </w:style>
  <w:style w:type="character" w:styleId="Collegamentoipertestuale">
    <w:name w:val="Hyperlink"/>
    <w:basedOn w:val="Carpredefinitoparagrafo"/>
    <w:uiPriority w:val="99"/>
    <w:unhideWhenUsed/>
    <w:rsid w:val="0038145E"/>
    <w:rPr>
      <w:color w:val="0000FF"/>
      <w:u w:val="single"/>
    </w:rPr>
  </w:style>
  <w:style w:type="character" w:styleId="Menzionenonrisolta">
    <w:name w:val="Unresolved Mention"/>
    <w:basedOn w:val="Carpredefinitoparagrafo"/>
    <w:uiPriority w:val="99"/>
    <w:semiHidden/>
    <w:unhideWhenUsed/>
    <w:rsid w:val="0038145E"/>
    <w:rPr>
      <w:color w:val="605E5C"/>
      <w:shd w:val="clear" w:color="auto" w:fill="E1DFDD"/>
    </w:rPr>
  </w:style>
  <w:style w:type="table" w:styleId="Grigliatabella">
    <w:name w:val="Table Grid"/>
    <w:basedOn w:val="Tabellanormale"/>
    <w:uiPriority w:val="39"/>
    <w:rsid w:val="00C12E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B63EA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ps.it"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mailto:direzione.provinciale.matera@postacert.inps.gov.it"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7</Pages>
  <Words>1408</Words>
  <Characters>8026</Characters>
  <Application>Microsoft Office Word</Application>
  <DocSecurity>0</DocSecurity>
  <Lines>66</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Sketchin Team</dc:creator>
  <cp:keywords/>
  <dc:description/>
  <cp:lastModifiedBy>Vitelli Gianvito</cp:lastModifiedBy>
  <cp:revision>7</cp:revision>
  <cp:lastPrinted>2023-08-08T08:31:00Z</cp:lastPrinted>
  <dcterms:created xsi:type="dcterms:W3CDTF">2023-08-07T11:21:00Z</dcterms:created>
  <dcterms:modified xsi:type="dcterms:W3CDTF">2023-12-19T11:18:00Z</dcterms:modified>
</cp:coreProperties>
</file>