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DEFB5D"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Informativa sul trattamento dei dati personali</w:t>
      </w:r>
    </w:p>
    <w:p w14:paraId="305DEB10"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w:t>
      </w:r>
      <w:r w:rsidRPr="001D28EB">
        <w:rPr>
          <w:rFonts w:ascii="Titillium Web" w:eastAsia="Times New Roman" w:hAnsi="Titillium Web" w:cs="Times New Roman"/>
          <w:b/>
          <w:bCs/>
          <w:i/>
          <w:iCs/>
          <w:sz w:val="24"/>
          <w:szCs w:val="24"/>
          <w:lang w:eastAsia="it-IT"/>
        </w:rPr>
        <w:t>GDPR</w:t>
      </w:r>
      <w:r w:rsidRPr="001D28EB">
        <w:rPr>
          <w:rFonts w:ascii="Titillium Web" w:eastAsia="Times New Roman" w:hAnsi="Titillium Web" w:cs="Times New Roman"/>
          <w:b/>
          <w:bCs/>
          <w:sz w:val="24"/>
          <w:szCs w:val="24"/>
          <w:lang w:eastAsia="it-IT"/>
        </w:rPr>
        <w:t>, Reg. 2016/679/UE; D.lgs. n. 196 del 30 giugno 2003 e ss.mm.)</w:t>
      </w:r>
    </w:p>
    <w:p w14:paraId="57C2044A" w14:textId="01106126"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 </w:t>
      </w:r>
      <w:r w:rsidRPr="001D28EB">
        <w:rPr>
          <w:rFonts w:ascii="Titillium Web" w:eastAsia="Times New Roman" w:hAnsi="Titillium Web" w:cs="Times New Roman"/>
          <w:sz w:val="24"/>
          <w:szCs w:val="24"/>
          <w:lang w:eastAsia="it-IT"/>
        </w:rPr>
        <w:t>La informiamo che i Suoi dati, siano essi personali, o appartenenti a particolari categorie (es. sulla salute, giudiziari, </w:t>
      </w:r>
      <w:r w:rsidRPr="001D28EB">
        <w:rPr>
          <w:rFonts w:ascii="Titillium Web" w:eastAsia="Times New Roman" w:hAnsi="Titillium Web" w:cs="Times New Roman"/>
          <w:i/>
          <w:iCs/>
          <w:sz w:val="24"/>
          <w:szCs w:val="24"/>
          <w:lang w:eastAsia="it-IT"/>
        </w:rPr>
        <w:t>etc</w:t>
      </w:r>
      <w:r w:rsidRPr="001D28EB">
        <w:rPr>
          <w:rFonts w:ascii="Titillium Web" w:eastAsia="Times New Roman" w:hAnsi="Titillium Web" w:cs="Times New Roman"/>
          <w:sz w:val="24"/>
          <w:szCs w:val="24"/>
          <w:lang w:eastAsia="it-IT"/>
        </w:rPr>
        <w:t>…), saranno trattati nel rispetto delle disposizioni di tutela contenute nel </w:t>
      </w:r>
      <w:hyperlink r:id="rId5" w:history="1">
        <w:r w:rsidRPr="001D28EB">
          <w:rPr>
            <w:rFonts w:ascii="Titillium Web" w:eastAsia="Times New Roman" w:hAnsi="Titillium Web" w:cs="Times New Roman"/>
            <w:color w:val="0000FF"/>
            <w:sz w:val="24"/>
            <w:szCs w:val="24"/>
            <w:u w:val="single"/>
            <w:lang w:eastAsia="it-IT"/>
          </w:rPr>
          <w:t>Regolamento</w:t>
        </w:r>
      </w:hyperlink>
      <w:r w:rsidRPr="001D28EB">
        <w:rPr>
          <w:rFonts w:ascii="Titillium Web" w:eastAsia="Times New Roman" w:hAnsi="Titillium Web" w:cs="Times New Roman"/>
          <w:sz w:val="24"/>
          <w:szCs w:val="24"/>
          <w:lang w:eastAsia="it-IT"/>
        </w:rPr>
        <w:t> 2016/679/UE (</w:t>
      </w:r>
      <w:r w:rsidRPr="001D28EB">
        <w:rPr>
          <w:rFonts w:ascii="Titillium Web" w:eastAsia="Times New Roman" w:hAnsi="Titillium Web" w:cs="Times New Roman"/>
          <w:i/>
          <w:iCs/>
          <w:sz w:val="24"/>
          <w:szCs w:val="24"/>
          <w:lang w:eastAsia="it-IT"/>
        </w:rPr>
        <w:t>General Data Protection Regulation</w:t>
      </w:r>
      <w:r w:rsidRPr="001D28EB">
        <w:rPr>
          <w:rFonts w:ascii="Titillium Web" w:eastAsia="Times New Roman" w:hAnsi="Titillium Web" w:cs="Times New Roman"/>
          <w:sz w:val="24"/>
          <w:szCs w:val="24"/>
          <w:lang w:eastAsia="it-IT"/>
        </w:rPr>
        <w:t>, di seguito </w:t>
      </w:r>
      <w:r w:rsidRPr="001D28EB">
        <w:rPr>
          <w:rFonts w:ascii="Titillium Web" w:eastAsia="Times New Roman" w:hAnsi="Titillium Web" w:cs="Times New Roman"/>
          <w:i/>
          <w:iCs/>
          <w:sz w:val="24"/>
          <w:szCs w:val="24"/>
          <w:lang w:eastAsia="it-IT"/>
        </w:rPr>
        <w:t>GDPR</w:t>
      </w:r>
      <w:r w:rsidRPr="001D28EB">
        <w:rPr>
          <w:rFonts w:ascii="Titillium Web" w:eastAsia="Times New Roman" w:hAnsi="Titillium Web" w:cs="Times New Roman"/>
          <w:sz w:val="24"/>
          <w:szCs w:val="24"/>
          <w:lang w:eastAsia="it-IT"/>
        </w:rPr>
        <w:t>) e delle disposizioni compatibili del "Codice in materia di protezione dei dati personali" approvato con D.lgs. 30.6.2003, n. 196 e ss.mm., sia sotto il profilo procedimentale che della custodia atta a garantirne la riservatezza.</w:t>
      </w:r>
    </w:p>
    <w:p w14:paraId="492B6206"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Saranno utilizzati strumenti manuali, informatici e/o telematici, strutturati e implementati solo in maniera tale da garantire il rispetto delle finalità proprie di ciascun trattamento, in conformità alle norme del </w:t>
      </w:r>
      <w:r w:rsidRPr="001D28EB">
        <w:rPr>
          <w:rFonts w:ascii="Titillium Web" w:eastAsia="Times New Roman" w:hAnsi="Titillium Web" w:cs="Times New Roman"/>
          <w:i/>
          <w:iCs/>
          <w:sz w:val="24"/>
          <w:szCs w:val="24"/>
          <w:lang w:eastAsia="it-IT"/>
        </w:rPr>
        <w:t>GDPR</w:t>
      </w:r>
      <w:r w:rsidRPr="001D28EB">
        <w:rPr>
          <w:rFonts w:ascii="Titillium Web" w:eastAsia="Times New Roman" w:hAnsi="Titillium Web" w:cs="Times New Roman"/>
          <w:sz w:val="24"/>
          <w:szCs w:val="24"/>
          <w:lang w:eastAsia="it-IT"/>
        </w:rPr>
        <w:t>.</w:t>
      </w:r>
    </w:p>
    <w:p w14:paraId="13635311" w14:textId="6C6BA7E6"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 Titolare del trattamento</w:t>
      </w:r>
    </w:p>
    <w:p w14:paraId="647673E9"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Il Titolare del trattamento dei dati è l’Ordine dei Medici Chirurghi e degli Odontoiatri della Provincia di Matera, in persona del Presidente </w:t>
      </w:r>
      <w:r w:rsidRPr="001D28EB">
        <w:rPr>
          <w:rFonts w:ascii="Titillium Web" w:eastAsia="Times New Roman" w:hAnsi="Titillium Web" w:cs="Times New Roman"/>
          <w:i/>
          <w:iCs/>
          <w:sz w:val="24"/>
          <w:szCs w:val="24"/>
          <w:lang w:eastAsia="it-IT"/>
        </w:rPr>
        <w:t>p.t.</w:t>
      </w:r>
      <w:r w:rsidRPr="001D28EB">
        <w:rPr>
          <w:rFonts w:ascii="Titillium Web" w:eastAsia="Times New Roman" w:hAnsi="Titillium Web" w:cs="Times New Roman"/>
          <w:sz w:val="24"/>
          <w:szCs w:val="24"/>
          <w:lang w:eastAsia="it-IT"/>
        </w:rPr>
        <w:t>, Via Roma, 71, 75100 – Matera. Il Presidente è reperibile al seguente indirizzo email: segreteria@ordinemt.it.</w:t>
      </w:r>
    </w:p>
    <w:p w14:paraId="38DCA7A5" w14:textId="79150C20"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 </w:t>
      </w:r>
      <w:r w:rsidRPr="001D28EB">
        <w:rPr>
          <w:rFonts w:ascii="Titillium Web" w:eastAsia="Times New Roman" w:hAnsi="Titillium Web" w:cs="Times New Roman"/>
          <w:b/>
          <w:bCs/>
          <w:sz w:val="24"/>
          <w:szCs w:val="24"/>
          <w:lang w:eastAsia="it-IT"/>
        </w:rPr>
        <w:t>Finalità e base giuridica del trattamento</w:t>
      </w:r>
    </w:p>
    <w:p w14:paraId="041828C1"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Il conferimento dei dati è obbligatorio per tutto quanto è richiesto dai fini istituzionali che propri dell’Ente, nonché per l’adempimento di previsioni legislative e per l'esecuzione di un compito di interesse pubblico. Pertanto, l'eventuale rifiuto a fornirli in tutto o in parte può dar luogo all'impossibilità di dare esecuzione e di svolgere correttamente tutti gli adempimenti, quali quelli di natura retributiva, contributiva, fiscale e assistenziale.</w:t>
      </w:r>
    </w:p>
    <w:p w14:paraId="2DE0365A"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 dati personali forniti dagli utenti possono essere trattati esclusivamente per:</w:t>
      </w:r>
    </w:p>
    <w:p w14:paraId="0D91E40E" w14:textId="77777777" w:rsidR="001D28EB" w:rsidRPr="001D28EB" w:rsidRDefault="001D28EB" w:rsidP="001D28EB">
      <w:pPr>
        <w:numPr>
          <w:ilvl w:val="0"/>
          <w:numId w:val="1"/>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finalità istituzionali, relativamente alle materie ed ai procedimenti disciplinati specificatamente da apposite norme e/o regolamenti comunali;</w:t>
      </w:r>
    </w:p>
    <w:p w14:paraId="30E699E5" w14:textId="77777777" w:rsidR="001D28EB" w:rsidRPr="001D28EB" w:rsidRDefault="001D28EB" w:rsidP="001D28EB">
      <w:pPr>
        <w:numPr>
          <w:ilvl w:val="0"/>
          <w:numId w:val="1"/>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per scelte strategiche dell’Ente, sempre coerenti con l'interesse pubblico (invio di materiale informativo, accesso ai servizi, </w:t>
      </w:r>
      <w:r w:rsidRPr="001D28EB">
        <w:rPr>
          <w:rFonts w:ascii="Titillium Web" w:eastAsia="Times New Roman" w:hAnsi="Titillium Web" w:cs="Times New Roman"/>
          <w:i/>
          <w:iCs/>
          <w:sz w:val="24"/>
          <w:szCs w:val="24"/>
          <w:lang w:eastAsia="it-IT"/>
        </w:rPr>
        <w:t>etc</w:t>
      </w:r>
      <w:r w:rsidRPr="001D28EB">
        <w:rPr>
          <w:rFonts w:ascii="Titillium Web" w:eastAsia="Times New Roman" w:hAnsi="Titillium Web" w:cs="Times New Roman"/>
          <w:sz w:val="24"/>
          <w:szCs w:val="24"/>
          <w:lang w:eastAsia="it-IT"/>
        </w:rPr>
        <w:t>…).</w:t>
      </w:r>
    </w:p>
    <w:p w14:paraId="44681DAB" w14:textId="377F30D2"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 xml:space="preserve"> Ogni trattamento è effettuato previa prestazione del consenso per una o più finalità specifiche. Il trattamento può essere effettuato perché necessario all'esecuzione di un contratto con l’Utente e/o all'esecuzione di misure precontrattuali, ovvero per adempiere un obbligo legale al quale è soggetto l’Amministratore. Inoltre, il trattamento può essere effettuato per l'esecuzione di un compito di interesse pubblico o per l'esercizio di pubblici poteri di cui è investito il Titolare. </w:t>
      </w:r>
      <w:r w:rsidRPr="001D28EB">
        <w:rPr>
          <w:rFonts w:ascii="Titillium Web" w:eastAsia="Times New Roman" w:hAnsi="Titillium Web" w:cs="Times New Roman"/>
          <w:sz w:val="24"/>
          <w:szCs w:val="24"/>
          <w:lang w:eastAsia="it-IT"/>
        </w:rPr>
        <w:lastRenderedPageBreak/>
        <w:t>Infine, il trattamento può essere effettuato per il perseguimento del legittimo interesse dell’Amministratore o di terzi.</w:t>
      </w:r>
    </w:p>
    <w:p w14:paraId="634C746B" w14:textId="2580B23F"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 </w:t>
      </w:r>
      <w:r w:rsidRPr="001D28EB">
        <w:rPr>
          <w:rFonts w:ascii="Titillium Web" w:eastAsia="Times New Roman" w:hAnsi="Titillium Web" w:cs="Times New Roman"/>
          <w:b/>
          <w:bCs/>
          <w:sz w:val="24"/>
          <w:szCs w:val="24"/>
          <w:lang w:eastAsia="it-IT"/>
        </w:rPr>
        <w:t>Tipologia di dati trattati</w:t>
      </w:r>
    </w:p>
    <w:p w14:paraId="071B17A6"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Considerando le attività richieste dall’utente, ovvero i servizi a cui lo stesso acceda, sarà necessario fornire i seguenti dati:</w:t>
      </w:r>
    </w:p>
    <w:p w14:paraId="3566E890" w14:textId="77777777" w:rsidR="001D28EB" w:rsidRPr="001D28EB" w:rsidRDefault="001D28EB" w:rsidP="001D28EB">
      <w:pPr>
        <w:numPr>
          <w:ilvl w:val="0"/>
          <w:numId w:val="2"/>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i/>
          <w:iCs/>
          <w:sz w:val="24"/>
          <w:szCs w:val="24"/>
          <w:lang w:eastAsia="it-IT"/>
        </w:rPr>
        <w:t>Registrazione al portale OMCeOMT</w:t>
      </w:r>
      <w:r w:rsidRPr="001D28EB">
        <w:rPr>
          <w:rFonts w:ascii="Titillium Web" w:eastAsia="Times New Roman" w:hAnsi="Titillium Web" w:cs="Times New Roman"/>
          <w:sz w:val="24"/>
          <w:szCs w:val="24"/>
          <w:lang w:eastAsia="it-IT"/>
        </w:rPr>
        <w:t>: nome, cognome, codice fiscale, username, password, dati residenza e contatti telefonici, indirizzo email;</w:t>
      </w:r>
    </w:p>
    <w:p w14:paraId="47F4AB10" w14:textId="77777777" w:rsidR="001D28EB" w:rsidRPr="001D28EB" w:rsidRDefault="001D28EB" w:rsidP="001D28EB">
      <w:pPr>
        <w:numPr>
          <w:ilvl w:val="0"/>
          <w:numId w:val="2"/>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i/>
          <w:iCs/>
          <w:sz w:val="24"/>
          <w:szCs w:val="24"/>
          <w:lang w:eastAsia="it-IT"/>
        </w:rPr>
        <w:t>Prima iscrizione all’Ordine dei Medici Chirurghi e degli Odontoiatri della Provincia di Matera</w:t>
      </w:r>
      <w:r w:rsidRPr="001D28EB">
        <w:rPr>
          <w:rFonts w:ascii="Titillium Web" w:eastAsia="Times New Roman" w:hAnsi="Titillium Web" w:cs="Times New Roman"/>
          <w:sz w:val="24"/>
          <w:szCs w:val="24"/>
          <w:lang w:eastAsia="it-IT"/>
        </w:rPr>
        <w:t>: nome, cognome, codice fiscale, username, password, indirizzo di residenza, contatti telefonici, indirizzo email, data, luogo e voto di laurea e abilitazione);</w:t>
      </w:r>
    </w:p>
    <w:p w14:paraId="10535AFC" w14:textId="77777777" w:rsidR="001D28EB" w:rsidRPr="001D28EB" w:rsidRDefault="001D28EB" w:rsidP="001D28EB">
      <w:pPr>
        <w:numPr>
          <w:ilvl w:val="0"/>
          <w:numId w:val="2"/>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i/>
          <w:iCs/>
          <w:sz w:val="24"/>
          <w:szCs w:val="24"/>
          <w:lang w:eastAsia="it-IT"/>
        </w:rPr>
        <w:t>Iscrizione ad eventi, seminari e corsi di aggiornamento</w:t>
      </w:r>
      <w:r w:rsidRPr="001D28EB">
        <w:rPr>
          <w:rFonts w:ascii="Titillium Web" w:eastAsia="Times New Roman" w:hAnsi="Titillium Web" w:cs="Times New Roman"/>
          <w:sz w:val="24"/>
          <w:szCs w:val="24"/>
          <w:lang w:eastAsia="it-IT"/>
        </w:rPr>
        <w:t>: nome, cognome, codice fiscale, dati residenza e contatti telefonici, indirizzo email, qualifica e attività professionale e/o di interesse, eventuali dati di fatturazione.</w:t>
      </w:r>
    </w:p>
    <w:p w14:paraId="68D624AD"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Modalità del trattamento dei dati</w:t>
      </w:r>
    </w:p>
    <w:p w14:paraId="7A49E459"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In relazione alle finalità descritte, i dati verranno trattati tramite strumenti cartacei, informatici e telematici dal titolare e/o dagli incaricati del trattamento, nel rispetto della normativa sopra richiamata e, comunque, mediante strumenti idonei a garantire la loro sicurezza e riservatezza.</w:t>
      </w:r>
    </w:p>
    <w:p w14:paraId="7FCA32EC"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In alcuni casi, potrebbero avere accesso ai dati soggetti terzi (personale amministrativo, legali, amministratori di sistema, fornitori di servizi tecnici terzi, corrieri postali).</w:t>
      </w:r>
    </w:p>
    <w:p w14:paraId="0B108D09"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 dati potranno essere trattati, sempre nel rispetto della normativa vigente, dalla società “TECSIS s.r.l.”, relativamente alla gestione del software di anagrafica Albo, protocollo, contabilità, fatturazione, </w:t>
      </w:r>
      <w:r w:rsidRPr="001D28EB">
        <w:rPr>
          <w:rFonts w:ascii="Titillium Web" w:eastAsia="Times New Roman" w:hAnsi="Titillium Web" w:cs="Times New Roman"/>
          <w:i/>
          <w:iCs/>
          <w:sz w:val="24"/>
          <w:szCs w:val="24"/>
          <w:lang w:eastAsia="it-IT"/>
        </w:rPr>
        <w:t>pago-p.a.</w:t>
      </w:r>
      <w:r w:rsidRPr="001D28EB">
        <w:rPr>
          <w:rFonts w:ascii="Titillium Web" w:eastAsia="Times New Roman" w:hAnsi="Titillium Web" w:cs="Times New Roman"/>
          <w:sz w:val="24"/>
          <w:szCs w:val="24"/>
          <w:lang w:eastAsia="it-IT"/>
        </w:rPr>
        <w:t>, sito web e servizi online per gli iscritti e digitalizzazione sistemi amministrativi; e dalla società “CPSNET s.r.l.”, relativamente alla gestione della piattaforma per videoconferenze.</w:t>
      </w:r>
    </w:p>
    <w:p w14:paraId="14FF4B25"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Conservazione</w:t>
      </w:r>
    </w:p>
    <w:p w14:paraId="20F278C0"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 dati sono conservati a fini di archiviazione, nel pubblico interesse, nel rispetto delle norme tecniche e organizzative disposte dal titolare, in conformità con quanto stabilito dal </w:t>
      </w:r>
      <w:r w:rsidRPr="001D28EB">
        <w:rPr>
          <w:rFonts w:ascii="Titillium Web" w:eastAsia="Times New Roman" w:hAnsi="Titillium Web" w:cs="Times New Roman"/>
          <w:i/>
          <w:iCs/>
          <w:sz w:val="24"/>
          <w:szCs w:val="24"/>
          <w:lang w:eastAsia="it-IT"/>
        </w:rPr>
        <w:t>GDPR</w:t>
      </w:r>
      <w:r w:rsidRPr="001D28EB">
        <w:rPr>
          <w:rFonts w:ascii="Titillium Web" w:eastAsia="Times New Roman" w:hAnsi="Titillium Web" w:cs="Times New Roman"/>
          <w:sz w:val="24"/>
          <w:szCs w:val="24"/>
          <w:lang w:eastAsia="it-IT"/>
        </w:rPr>
        <w:t> e dal c.d. “Codice della Privacy”.</w:t>
      </w:r>
    </w:p>
    <w:p w14:paraId="110F1AF8"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 dati sono trattati presso le sedi operative del Titolare ed in ogni altro luogo in cui le parti coinvolte nel trattamento siano localizzate.</w:t>
      </w:r>
    </w:p>
    <w:p w14:paraId="0B8A5EEF"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lastRenderedPageBreak/>
        <w:t> </w:t>
      </w:r>
    </w:p>
    <w:p w14:paraId="5668AB33"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Diritti dell'interessato</w:t>
      </w:r>
    </w:p>
    <w:p w14:paraId="087C9C19"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 diritti dell'interessato sono descritti negli artt. 15, 16, 17, 18, 20, 21 del </w:t>
      </w:r>
      <w:r w:rsidRPr="001D28EB">
        <w:rPr>
          <w:rFonts w:ascii="Titillium Web" w:eastAsia="Times New Roman" w:hAnsi="Titillium Web" w:cs="Times New Roman"/>
          <w:i/>
          <w:iCs/>
          <w:sz w:val="24"/>
          <w:szCs w:val="24"/>
          <w:lang w:eastAsia="it-IT"/>
        </w:rPr>
        <w:t>GDPR</w:t>
      </w:r>
      <w:r w:rsidRPr="001D28EB">
        <w:rPr>
          <w:rFonts w:ascii="Titillium Web" w:eastAsia="Times New Roman" w:hAnsi="Titillium Web" w:cs="Times New Roman"/>
          <w:sz w:val="24"/>
          <w:szCs w:val="24"/>
          <w:lang w:eastAsia="it-IT"/>
        </w:rPr>
        <w:t>:</w:t>
      </w:r>
    </w:p>
    <w:p w14:paraId="2F7D1305" w14:textId="77777777"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di ottenere la conferma dell'esistenza o meno di un trattamento di dati personali che lo riguardano, l'accesso agli stessi, le relative informazioni di cui all'art. 15;</w:t>
      </w:r>
    </w:p>
    <w:p w14:paraId="6C4F7989" w14:textId="77777777"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di ottenere la rettifica dei dati senza ingiustificato ritardo, inclusa l'integrazione dei dati;</w:t>
      </w:r>
    </w:p>
    <w:p w14:paraId="3FF66AFD" w14:textId="77777777"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di ottenere la cancellazione dei dati, alle condizioni di cui all'art. 17;</w:t>
      </w:r>
    </w:p>
    <w:p w14:paraId="6B734D3D" w14:textId="77777777"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di ottenere la limitazione del trattamento e la comunicazione di eventuale revoca della stessa, sussistendone i presupposti di cui all'art. 18 del GDPR;</w:t>
      </w:r>
    </w:p>
    <w:p w14:paraId="41671B7D" w14:textId="77777777"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alla portabilità dei dati, alle condizioni di cui all'art. 20;</w:t>
      </w:r>
    </w:p>
    <w:p w14:paraId="2B966DD7" w14:textId="77777777"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di opporsi al trattamento dei dati personali sussistendone le condizioni esplicate all'art. 21;</w:t>
      </w:r>
    </w:p>
    <w:p w14:paraId="45E17521" w14:textId="128790B3" w:rsidR="001D28EB" w:rsidRPr="001D28EB" w:rsidRDefault="001D28EB" w:rsidP="001D28EB">
      <w:pPr>
        <w:numPr>
          <w:ilvl w:val="0"/>
          <w:numId w:val="3"/>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diritto di proporre reclamo all’Autorità Garante.</w:t>
      </w:r>
    </w:p>
    <w:p w14:paraId="75574ACD"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b/>
          <w:bCs/>
          <w:sz w:val="24"/>
          <w:szCs w:val="24"/>
          <w:lang w:eastAsia="it-IT"/>
        </w:rPr>
        <w:t>Responsabile della protezione dei dati personali</w:t>
      </w:r>
    </w:p>
    <w:p w14:paraId="30DD962E"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Il Responsabile della protezione dei dati personali (DPO) dell’Ordine dei Medici Chirurghi e degli Odontoiatri della Provincia di Matera è reperibile al seguente indirizzo email: responsabileprotezionedati@gmail.com.</w:t>
      </w:r>
    </w:p>
    <w:p w14:paraId="3E99C623" w14:textId="75C6DE5E"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 </w:t>
      </w:r>
      <w:r w:rsidRPr="001D28EB">
        <w:rPr>
          <w:rFonts w:ascii="Titillium Web" w:eastAsia="Times New Roman" w:hAnsi="Titillium Web" w:cs="Times New Roman"/>
          <w:b/>
          <w:bCs/>
          <w:sz w:val="24"/>
          <w:szCs w:val="24"/>
          <w:lang w:eastAsia="it-IT"/>
        </w:rPr>
        <w:t>Cookie Policy</w:t>
      </w:r>
    </w:p>
    <w:p w14:paraId="08350701" w14:textId="7B5B6341"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 seguito si riporta la Cookie policy da utilizzare quale informativa estesa ai sensi dell’art. 13 del Codice della Privacy, D.lgs. 196/2003 e degli artt. 13 e 14 del GDPR.</w:t>
      </w:r>
    </w:p>
    <w:p w14:paraId="755A5C25"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Cosa sono i Cookie?</w:t>
      </w:r>
    </w:p>
    <w:p w14:paraId="268DECC8"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I Cookie sono pacchetti di informazioni inviate da un web server (es. il sito) al browser Internet dell’utente, da quest’ultimo memorizzati automaticamente sul computer e rinviati automaticamente al server ad ogni successivo accesso al sito.</w:t>
      </w:r>
    </w:p>
    <w:p w14:paraId="2DC17984"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Per default quasi tutti i browser web sono impostati per accettare automaticamente i cookie. Il Titolare installerà sul Suo dispositivo e, in particolare, nel Suo browser o lascerà installare a terzi alcuni cookie che sono necessari per acquisire informazioni statistiche in forma anonima e aggregata relative alla sua navigazione sulle pagine del Sito. Si tratta, in particolare, di cookies che servono, esclusivamente, per gestire la sessione tra il browser e il web server e quindi non fa uso di altre tipologie di cookie per scopi commerciali, raccolta dati, </w:t>
      </w:r>
      <w:r w:rsidRPr="001D28EB">
        <w:rPr>
          <w:rFonts w:ascii="Titillium Web" w:eastAsia="Times New Roman" w:hAnsi="Titillium Web" w:cs="Times New Roman"/>
          <w:i/>
          <w:iCs/>
          <w:sz w:val="24"/>
          <w:szCs w:val="24"/>
          <w:lang w:eastAsia="it-IT"/>
        </w:rPr>
        <w:t>etc</w:t>
      </w:r>
      <w:r w:rsidRPr="001D28EB">
        <w:rPr>
          <w:rFonts w:ascii="Titillium Web" w:eastAsia="Times New Roman" w:hAnsi="Titillium Web" w:cs="Times New Roman"/>
          <w:sz w:val="24"/>
          <w:szCs w:val="24"/>
          <w:lang w:eastAsia="it-IT"/>
        </w:rPr>
        <w:t>…</w:t>
      </w:r>
    </w:p>
    <w:p w14:paraId="725F9404"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lastRenderedPageBreak/>
        <w:t>Tipicamente i cookie possono essere installati:</w:t>
      </w:r>
    </w:p>
    <w:p w14:paraId="57BE6034" w14:textId="77777777" w:rsidR="001D28EB" w:rsidRPr="001D28EB" w:rsidRDefault="001D28EB" w:rsidP="001D28EB">
      <w:pPr>
        <w:numPr>
          <w:ilvl w:val="0"/>
          <w:numId w:val="4"/>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Direttamente dal proprietario e/o responsabile del sito web (c.d. cookie di prima parte)</w:t>
      </w:r>
    </w:p>
    <w:p w14:paraId="3D7D8362" w14:textId="77777777" w:rsidR="001D28EB" w:rsidRPr="001D28EB" w:rsidRDefault="001D28EB" w:rsidP="001D28EB">
      <w:pPr>
        <w:numPr>
          <w:ilvl w:val="0"/>
          <w:numId w:val="4"/>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da responsabili estranei al sito web visitato dall’utente (c.d. cookie di terza parte). Ove non diversamente specificato, si rammenta che questi cookie ricadono sotto la diretta ed esclusiva responsabilità dello stesso gestore. Ulteriori informazioni sulla privacy e sul loro uso sono reperibili direttamente sui siti dei rispettivi gestori.</w:t>
      </w:r>
    </w:p>
    <w:p w14:paraId="13260DF0" w14:textId="77777777" w:rsidR="001D28EB" w:rsidRPr="001D28EB" w:rsidRDefault="001D28EB" w:rsidP="001D28EB">
      <w:p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Questo sito web può utilizzare, anche in combinazione tra di loro i seguenti tipi di cookie classificati in base alle indicazioni del Garante Privacy e dei Pareri emessi in ambito Europeo dal Gruppo di Lavoro </w:t>
      </w:r>
      <w:r w:rsidRPr="001D28EB">
        <w:rPr>
          <w:rFonts w:ascii="Titillium Web" w:eastAsia="Times New Roman" w:hAnsi="Titillium Web" w:cs="Times New Roman"/>
          <w:i/>
          <w:iCs/>
          <w:sz w:val="24"/>
          <w:szCs w:val="24"/>
          <w:lang w:eastAsia="it-IT"/>
        </w:rPr>
        <w:t>ex art</w:t>
      </w:r>
      <w:r w:rsidRPr="001D28EB">
        <w:rPr>
          <w:rFonts w:ascii="Titillium Web" w:eastAsia="Times New Roman" w:hAnsi="Titillium Web" w:cs="Times New Roman"/>
          <w:sz w:val="24"/>
          <w:szCs w:val="24"/>
          <w:lang w:eastAsia="it-IT"/>
        </w:rPr>
        <w:t>. 29:</w:t>
      </w:r>
    </w:p>
    <w:p w14:paraId="35F160AB"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Sessione che non vengono memorizzati in modo persistente sul computer dell’utente e si cancellano con la chiusura del browser, sono strettamente limitati alla trasmissione di identificativi di sessione necessari per consentire l’esplorazione sicura ed efficiente del sito evitando il ricorso ad altre tecniche informatiche potenzialmente pregiudizievoli per la riservatezza della navigazione degli utenti</w:t>
      </w:r>
    </w:p>
    <w:p w14:paraId="0816479B"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Persistenti che rimangono memorizzati sul disco rigido del computer fino alla loro scadenza o cancellazione da parte degli utenti/visitatori. Tramite i cookie persistenti i visitatori che accedono al sito (o eventuali altri utenti che impiegano il medesimo computer) vengono automaticamente riconosciuti ad ogni visita. I visitatori possono impostare il browser del computer in modo tale che accetti/rifiuti tutti i cookie o visualizzi un avviso ogni qual volta viene proposto un cookie, per poter valutare se accettarlo o meno. L’utente può, comunque, modificare la configurazione predefinita e disabilitare i cookie (cioè bloccarli in via definitiva), impostando il livello di protezione più elevato.</w:t>
      </w:r>
    </w:p>
    <w:p w14:paraId="59C5C3B9"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Tecnici sono i cookie utilizzati per autenticarsi, per usufruire di contenuti multimediali tipo flash player o per consentire la scelta della lingua di navigazione. In generale non è quindi necessario acquisire il consenso preventivo e informato dell’utente. Rientrano in questa fattispecie anche i cookie utilizzati per analizzare statisticamente gli accessi/le visite al sito solo se utilizzati esclusivamente per scopi statistici e tramite la raccolta di informazioni in forma aggregata.</w:t>
      </w:r>
    </w:p>
    <w:p w14:paraId="12F275D0"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Non tecnici sono tutti i cookie usati per finalità di profilazione e marketing. Il loro utilizzo sui terminali degli utenti è vietato se questi non siano stati prima adeguatamente informati e non abbiano prestato al riguardo un valido consenso secondo la tecnica dell’opt-in. Questi tipi di cookie sono, a loro volta, raggruppabili in base alle funzioni che assolvono in:</w:t>
      </w:r>
    </w:p>
    <w:p w14:paraId="7A9E6BB9"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 xml:space="preserve">Analitycs Sono i cookie utilizzati per raccogliere ed analizzare informazioni statistiche sugli accessi/le visite al sito web. In alcuni casi, associati ad altre informazioni quali le </w:t>
      </w:r>
      <w:r w:rsidRPr="001D28EB">
        <w:rPr>
          <w:rFonts w:ascii="Titillium Web" w:eastAsia="Times New Roman" w:hAnsi="Titillium Web" w:cs="Times New Roman"/>
          <w:sz w:val="24"/>
          <w:szCs w:val="24"/>
          <w:lang w:eastAsia="it-IT"/>
        </w:rPr>
        <w:lastRenderedPageBreak/>
        <w:t>credenziali inserite per l’accesso ad aree riservate (il proprio indirizzo di posta elettronica e la password), possono essere utilizzate per profilare l’utente (abitudini personali, siti visitati, contenuti scaricati, tipi di interazioni effettuate, ecc.).</w:t>
      </w:r>
    </w:p>
    <w:p w14:paraId="2A979D22"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Widgets Rientrano in questa categoria tutti quei componenti grafici di una interfaccia utente di un programma, che ha lo scopo di facilitare l’utente nell’interazione con il programma stesso. A titolo esemplificativo sono widget i cookie di facebook, twitter, instagram, </w:t>
      </w:r>
      <w:r w:rsidRPr="001D28EB">
        <w:rPr>
          <w:rFonts w:ascii="Titillium Web" w:eastAsia="Times New Roman" w:hAnsi="Titillium Web" w:cs="Times New Roman"/>
          <w:i/>
          <w:iCs/>
          <w:sz w:val="24"/>
          <w:szCs w:val="24"/>
          <w:lang w:eastAsia="it-IT"/>
        </w:rPr>
        <w:t>etc</w:t>
      </w:r>
      <w:r w:rsidRPr="001D28EB">
        <w:rPr>
          <w:rFonts w:ascii="Titillium Web" w:eastAsia="Times New Roman" w:hAnsi="Titillium Web" w:cs="Times New Roman"/>
          <w:sz w:val="24"/>
          <w:szCs w:val="24"/>
          <w:lang w:eastAsia="it-IT"/>
        </w:rPr>
        <w:t>…</w:t>
      </w:r>
    </w:p>
    <w:p w14:paraId="1573DDD2"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Advertsing Rientrano in questa categoria i cookie utilizzati per fare pubblicità all’interno di un sito. Google, Tradedoubler, Awin rientrano in questa categoria.</w:t>
      </w:r>
    </w:p>
    <w:p w14:paraId="19118B2C" w14:textId="77777777" w:rsidR="001D28EB" w:rsidRPr="001D28EB" w:rsidRDefault="001D28EB" w:rsidP="001D28EB">
      <w:pPr>
        <w:numPr>
          <w:ilvl w:val="0"/>
          <w:numId w:val="5"/>
        </w:numPr>
        <w:shd w:val="clear" w:color="auto" w:fill="FFFFFF"/>
        <w:spacing w:before="100" w:beforeAutospacing="1" w:after="100" w:afterAutospacing="1" w:line="240" w:lineRule="auto"/>
        <w:rPr>
          <w:rFonts w:ascii="Titillium Web" w:eastAsia="Times New Roman" w:hAnsi="Titillium Web" w:cs="Times New Roman"/>
          <w:sz w:val="24"/>
          <w:szCs w:val="24"/>
          <w:lang w:eastAsia="it-IT"/>
        </w:rPr>
      </w:pPr>
      <w:r w:rsidRPr="001D28EB">
        <w:rPr>
          <w:rFonts w:ascii="Titillium Web" w:eastAsia="Times New Roman" w:hAnsi="Titillium Web" w:cs="Times New Roman"/>
          <w:sz w:val="24"/>
          <w:szCs w:val="24"/>
          <w:lang w:eastAsia="it-IT"/>
        </w:rPr>
        <w:t>Web beacons Rientrano in questa categoria i frammenti di codice che consentono a un sito web di trasferire o raccogliere informazioni attraverso la richiesta di un’immagine grafica. I siti web possono utilizzarli per diversi fini, quali l’analisi dell’uso dei siti web, attività di controllo e reportistica sulle pubblicità e la personalizzazione di pubblicità e contenuti.</w:t>
      </w:r>
    </w:p>
    <w:p w14:paraId="6E11B86C" w14:textId="77777777" w:rsidR="001E516C" w:rsidRDefault="001E516C"/>
    <w:sectPr w:rsidR="001E516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770B7"/>
    <w:multiLevelType w:val="multilevel"/>
    <w:tmpl w:val="DE24C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9A39C1"/>
    <w:multiLevelType w:val="multilevel"/>
    <w:tmpl w:val="D1F40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1454327"/>
    <w:multiLevelType w:val="multilevel"/>
    <w:tmpl w:val="FBDA7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BA10BE"/>
    <w:multiLevelType w:val="multilevel"/>
    <w:tmpl w:val="DE506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AD82933"/>
    <w:multiLevelType w:val="multilevel"/>
    <w:tmpl w:val="80C20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60274999">
    <w:abstractNumId w:val="1"/>
  </w:num>
  <w:num w:numId="2" w16cid:durableId="1047148010">
    <w:abstractNumId w:val="2"/>
  </w:num>
  <w:num w:numId="3" w16cid:durableId="351037558">
    <w:abstractNumId w:val="3"/>
  </w:num>
  <w:num w:numId="4" w16cid:durableId="1018508590">
    <w:abstractNumId w:val="0"/>
  </w:num>
  <w:num w:numId="5" w16cid:durableId="17130741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EB8"/>
    <w:rsid w:val="001D28EB"/>
    <w:rsid w:val="001E516C"/>
    <w:rsid w:val="00DC0E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EA4F8"/>
  <w15:chartTrackingRefBased/>
  <w15:docId w15:val="{44A3F3DE-1C5D-46F2-A097-9B564CF1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1D28E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1D28EB"/>
    <w:rPr>
      <w:b/>
      <w:bCs/>
    </w:rPr>
  </w:style>
  <w:style w:type="character" w:styleId="Enfasicorsivo">
    <w:name w:val="Emphasis"/>
    <w:basedOn w:val="Carpredefinitoparagrafo"/>
    <w:uiPriority w:val="20"/>
    <w:qFormat/>
    <w:rsid w:val="001D28EB"/>
    <w:rPr>
      <w:i/>
      <w:iCs/>
    </w:rPr>
  </w:style>
  <w:style w:type="character" w:styleId="Collegamentoipertestuale">
    <w:name w:val="Hyperlink"/>
    <w:basedOn w:val="Carpredefinitoparagrafo"/>
    <w:uiPriority w:val="99"/>
    <w:semiHidden/>
    <w:unhideWhenUsed/>
    <w:rsid w:val="001D28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7794075">
      <w:bodyDiv w:val="1"/>
      <w:marLeft w:val="0"/>
      <w:marRight w:val="0"/>
      <w:marTop w:val="0"/>
      <w:marBottom w:val="0"/>
      <w:divBdr>
        <w:top w:val="none" w:sz="0" w:space="0" w:color="auto"/>
        <w:left w:val="none" w:sz="0" w:space="0" w:color="auto"/>
        <w:bottom w:val="none" w:sz="0" w:space="0" w:color="auto"/>
        <w:right w:val="none" w:sz="0" w:space="0" w:color="auto"/>
      </w:divBdr>
      <w:divsChild>
        <w:div w:id="636421437">
          <w:marLeft w:val="0"/>
          <w:marRight w:val="0"/>
          <w:marTop w:val="0"/>
          <w:marBottom w:val="0"/>
          <w:divBdr>
            <w:top w:val="none" w:sz="0" w:space="0" w:color="auto"/>
            <w:left w:val="none" w:sz="0" w:space="0" w:color="auto"/>
            <w:bottom w:val="none" w:sz="0" w:space="0" w:color="auto"/>
            <w:right w:val="none" w:sz="0" w:space="0" w:color="auto"/>
          </w:divBdr>
          <w:divsChild>
            <w:div w:id="346061716">
              <w:marLeft w:val="0"/>
              <w:marRight w:val="0"/>
              <w:marTop w:val="0"/>
              <w:marBottom w:val="0"/>
              <w:divBdr>
                <w:top w:val="none" w:sz="0" w:space="0" w:color="auto"/>
                <w:left w:val="none" w:sz="0" w:space="0" w:color="auto"/>
                <w:bottom w:val="none" w:sz="0" w:space="0" w:color="auto"/>
                <w:right w:val="none" w:sz="0" w:space="0" w:color="auto"/>
              </w:divBdr>
              <w:divsChild>
                <w:div w:id="1385062194">
                  <w:marLeft w:val="0"/>
                  <w:marRight w:val="0"/>
                  <w:marTop w:val="0"/>
                  <w:marBottom w:val="0"/>
                  <w:divBdr>
                    <w:top w:val="none" w:sz="0" w:space="0" w:color="auto"/>
                    <w:left w:val="none" w:sz="0" w:space="0" w:color="auto"/>
                    <w:bottom w:val="none" w:sz="0" w:space="0" w:color="auto"/>
                    <w:right w:val="none" w:sz="0" w:space="0" w:color="auto"/>
                  </w:divBdr>
                </w:div>
              </w:divsChild>
            </w:div>
            <w:div w:id="939993555">
              <w:marLeft w:val="0"/>
              <w:marRight w:val="0"/>
              <w:marTop w:val="0"/>
              <w:marBottom w:val="0"/>
              <w:divBdr>
                <w:top w:val="none" w:sz="0" w:space="0" w:color="auto"/>
                <w:left w:val="none" w:sz="0" w:space="0" w:color="auto"/>
                <w:bottom w:val="none" w:sz="0" w:space="0" w:color="auto"/>
                <w:right w:val="none" w:sz="0" w:space="0" w:color="auto"/>
              </w:divBdr>
              <w:divsChild>
                <w:div w:id="376856729">
                  <w:marLeft w:val="0"/>
                  <w:marRight w:val="0"/>
                  <w:marTop w:val="0"/>
                  <w:marBottom w:val="0"/>
                  <w:divBdr>
                    <w:top w:val="none" w:sz="0" w:space="0" w:color="auto"/>
                    <w:left w:val="none" w:sz="0" w:space="0" w:color="auto"/>
                    <w:bottom w:val="none" w:sz="0" w:space="0" w:color="auto"/>
                    <w:right w:val="none" w:sz="0" w:space="0" w:color="auto"/>
                  </w:divBdr>
                </w:div>
                <w:div w:id="171954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54283">
          <w:marLeft w:val="0"/>
          <w:marRight w:val="0"/>
          <w:marTop w:val="60"/>
          <w:marBottom w:val="0"/>
          <w:divBdr>
            <w:top w:val="none" w:sz="0" w:space="0" w:color="auto"/>
            <w:left w:val="none" w:sz="0" w:space="0" w:color="auto"/>
            <w:bottom w:val="none" w:sz="0" w:space="0" w:color="auto"/>
            <w:right w:val="none" w:sz="0" w:space="0" w:color="auto"/>
          </w:divBdr>
          <w:divsChild>
            <w:div w:id="1325356211">
              <w:marLeft w:val="0"/>
              <w:marRight w:val="0"/>
              <w:marTop w:val="0"/>
              <w:marBottom w:val="0"/>
              <w:divBdr>
                <w:top w:val="none" w:sz="0" w:space="0" w:color="auto"/>
                <w:left w:val="none" w:sz="0" w:space="0" w:color="auto"/>
                <w:bottom w:val="none" w:sz="0" w:space="0" w:color="auto"/>
                <w:right w:val="none" w:sz="0" w:space="0" w:color="auto"/>
              </w:divBdr>
              <w:divsChild>
                <w:div w:id="412095302">
                  <w:marLeft w:val="0"/>
                  <w:marRight w:val="0"/>
                  <w:marTop w:val="0"/>
                  <w:marBottom w:val="0"/>
                  <w:divBdr>
                    <w:top w:val="none" w:sz="0" w:space="0" w:color="auto"/>
                    <w:left w:val="none" w:sz="0" w:space="0" w:color="auto"/>
                    <w:bottom w:val="none" w:sz="0" w:space="0" w:color="auto"/>
                    <w:right w:val="none" w:sz="0" w:space="0" w:color="auto"/>
                  </w:divBdr>
                  <w:divsChild>
                    <w:div w:id="739327085">
                      <w:marLeft w:val="0"/>
                      <w:marRight w:val="0"/>
                      <w:marTop w:val="0"/>
                      <w:marBottom w:val="0"/>
                      <w:divBdr>
                        <w:top w:val="none" w:sz="0" w:space="0" w:color="auto"/>
                        <w:left w:val="none" w:sz="0" w:space="0" w:color="auto"/>
                        <w:bottom w:val="none" w:sz="0" w:space="0" w:color="auto"/>
                        <w:right w:val="none" w:sz="0" w:space="0" w:color="auto"/>
                      </w:divBdr>
                      <w:divsChild>
                        <w:div w:id="1255437845">
                          <w:marLeft w:val="0"/>
                          <w:marRight w:val="0"/>
                          <w:marTop w:val="0"/>
                          <w:marBottom w:val="0"/>
                          <w:divBdr>
                            <w:top w:val="none" w:sz="0" w:space="0" w:color="auto"/>
                            <w:left w:val="none" w:sz="0" w:space="0" w:color="auto"/>
                            <w:bottom w:val="none" w:sz="0" w:space="0" w:color="auto"/>
                            <w:right w:val="none" w:sz="0" w:space="0" w:color="auto"/>
                          </w:divBdr>
                          <w:divsChild>
                            <w:div w:id="184316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258490">
                      <w:marLeft w:val="0"/>
                      <w:marRight w:val="0"/>
                      <w:marTop w:val="0"/>
                      <w:marBottom w:val="0"/>
                      <w:divBdr>
                        <w:top w:val="none" w:sz="0" w:space="0" w:color="auto"/>
                        <w:left w:val="none" w:sz="0" w:space="0" w:color="auto"/>
                        <w:bottom w:val="none" w:sz="0" w:space="0" w:color="auto"/>
                        <w:right w:val="none" w:sz="0" w:space="0" w:color="auto"/>
                      </w:divBdr>
                      <w:divsChild>
                        <w:div w:id="548886294">
                          <w:marLeft w:val="0"/>
                          <w:marRight w:val="0"/>
                          <w:marTop w:val="0"/>
                          <w:marBottom w:val="0"/>
                          <w:divBdr>
                            <w:top w:val="none" w:sz="0" w:space="0" w:color="auto"/>
                            <w:left w:val="none" w:sz="0" w:space="0" w:color="auto"/>
                            <w:bottom w:val="none" w:sz="0" w:space="0" w:color="auto"/>
                            <w:right w:val="none" w:sz="0" w:space="0" w:color="auto"/>
                          </w:divBdr>
                          <w:divsChild>
                            <w:div w:id="109393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933302">
                      <w:marLeft w:val="0"/>
                      <w:marRight w:val="0"/>
                      <w:marTop w:val="0"/>
                      <w:marBottom w:val="0"/>
                      <w:divBdr>
                        <w:top w:val="none" w:sz="0" w:space="0" w:color="auto"/>
                        <w:left w:val="none" w:sz="0" w:space="0" w:color="auto"/>
                        <w:bottom w:val="none" w:sz="0" w:space="0" w:color="auto"/>
                        <w:right w:val="none" w:sz="0" w:space="0" w:color="auto"/>
                      </w:divBdr>
                      <w:divsChild>
                        <w:div w:id="1639803329">
                          <w:marLeft w:val="0"/>
                          <w:marRight w:val="0"/>
                          <w:marTop w:val="0"/>
                          <w:marBottom w:val="0"/>
                          <w:divBdr>
                            <w:top w:val="none" w:sz="0" w:space="0" w:color="auto"/>
                            <w:left w:val="none" w:sz="0" w:space="0" w:color="auto"/>
                            <w:bottom w:val="none" w:sz="0" w:space="0" w:color="auto"/>
                            <w:right w:val="none" w:sz="0" w:space="0" w:color="auto"/>
                          </w:divBdr>
                          <w:divsChild>
                            <w:div w:id="35750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5289">
                      <w:marLeft w:val="0"/>
                      <w:marRight w:val="0"/>
                      <w:marTop w:val="0"/>
                      <w:marBottom w:val="0"/>
                      <w:divBdr>
                        <w:top w:val="none" w:sz="0" w:space="0" w:color="auto"/>
                        <w:left w:val="none" w:sz="0" w:space="0" w:color="auto"/>
                        <w:bottom w:val="none" w:sz="0" w:space="0" w:color="auto"/>
                        <w:right w:val="none" w:sz="0" w:space="0" w:color="auto"/>
                      </w:divBdr>
                      <w:divsChild>
                        <w:div w:id="992684876">
                          <w:marLeft w:val="0"/>
                          <w:marRight w:val="0"/>
                          <w:marTop w:val="0"/>
                          <w:marBottom w:val="0"/>
                          <w:divBdr>
                            <w:top w:val="none" w:sz="0" w:space="0" w:color="auto"/>
                            <w:left w:val="none" w:sz="0" w:space="0" w:color="auto"/>
                            <w:bottom w:val="none" w:sz="0" w:space="0" w:color="auto"/>
                            <w:right w:val="none" w:sz="0" w:space="0" w:color="auto"/>
                          </w:divBdr>
                          <w:divsChild>
                            <w:div w:id="36938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471875">
                      <w:marLeft w:val="0"/>
                      <w:marRight w:val="0"/>
                      <w:marTop w:val="0"/>
                      <w:marBottom w:val="0"/>
                      <w:divBdr>
                        <w:top w:val="none" w:sz="0" w:space="0" w:color="auto"/>
                        <w:left w:val="none" w:sz="0" w:space="0" w:color="auto"/>
                        <w:bottom w:val="none" w:sz="0" w:space="0" w:color="auto"/>
                        <w:right w:val="none" w:sz="0" w:space="0" w:color="auto"/>
                      </w:divBdr>
                      <w:divsChild>
                        <w:div w:id="1222131845">
                          <w:marLeft w:val="0"/>
                          <w:marRight w:val="0"/>
                          <w:marTop w:val="0"/>
                          <w:marBottom w:val="0"/>
                          <w:divBdr>
                            <w:top w:val="none" w:sz="0" w:space="0" w:color="auto"/>
                            <w:left w:val="none" w:sz="0" w:space="0" w:color="auto"/>
                            <w:bottom w:val="none" w:sz="0" w:space="0" w:color="auto"/>
                            <w:right w:val="none" w:sz="0" w:space="0" w:color="auto"/>
                          </w:divBdr>
                          <w:divsChild>
                            <w:div w:id="180330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348778">
                      <w:marLeft w:val="0"/>
                      <w:marRight w:val="0"/>
                      <w:marTop w:val="0"/>
                      <w:marBottom w:val="0"/>
                      <w:divBdr>
                        <w:top w:val="none" w:sz="0" w:space="0" w:color="auto"/>
                        <w:left w:val="none" w:sz="0" w:space="0" w:color="auto"/>
                        <w:bottom w:val="none" w:sz="0" w:space="0" w:color="auto"/>
                        <w:right w:val="none" w:sz="0" w:space="0" w:color="auto"/>
                      </w:divBdr>
                      <w:divsChild>
                        <w:div w:id="1201477615">
                          <w:marLeft w:val="0"/>
                          <w:marRight w:val="0"/>
                          <w:marTop w:val="0"/>
                          <w:marBottom w:val="0"/>
                          <w:divBdr>
                            <w:top w:val="none" w:sz="0" w:space="0" w:color="auto"/>
                            <w:left w:val="none" w:sz="0" w:space="0" w:color="auto"/>
                            <w:bottom w:val="none" w:sz="0" w:space="0" w:color="auto"/>
                            <w:right w:val="none" w:sz="0" w:space="0" w:color="auto"/>
                          </w:divBdr>
                          <w:divsChild>
                            <w:div w:id="128064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579106">
                      <w:marLeft w:val="0"/>
                      <w:marRight w:val="0"/>
                      <w:marTop w:val="0"/>
                      <w:marBottom w:val="0"/>
                      <w:divBdr>
                        <w:top w:val="none" w:sz="0" w:space="0" w:color="auto"/>
                        <w:left w:val="none" w:sz="0" w:space="0" w:color="auto"/>
                        <w:bottom w:val="none" w:sz="0" w:space="0" w:color="auto"/>
                        <w:right w:val="none" w:sz="0" w:space="0" w:color="auto"/>
                      </w:divBdr>
                      <w:divsChild>
                        <w:div w:id="1287468543">
                          <w:marLeft w:val="0"/>
                          <w:marRight w:val="0"/>
                          <w:marTop w:val="0"/>
                          <w:marBottom w:val="0"/>
                          <w:divBdr>
                            <w:top w:val="none" w:sz="0" w:space="0" w:color="auto"/>
                            <w:left w:val="none" w:sz="0" w:space="0" w:color="auto"/>
                            <w:bottom w:val="none" w:sz="0" w:space="0" w:color="auto"/>
                            <w:right w:val="none" w:sz="0" w:space="0" w:color="auto"/>
                          </w:divBdr>
                          <w:divsChild>
                            <w:div w:id="123327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612598">
                      <w:marLeft w:val="0"/>
                      <w:marRight w:val="0"/>
                      <w:marTop w:val="0"/>
                      <w:marBottom w:val="0"/>
                      <w:divBdr>
                        <w:top w:val="none" w:sz="0" w:space="0" w:color="auto"/>
                        <w:left w:val="none" w:sz="0" w:space="0" w:color="auto"/>
                        <w:bottom w:val="none" w:sz="0" w:space="0" w:color="auto"/>
                        <w:right w:val="none" w:sz="0" w:space="0" w:color="auto"/>
                      </w:divBdr>
                      <w:divsChild>
                        <w:div w:id="245656773">
                          <w:marLeft w:val="0"/>
                          <w:marRight w:val="0"/>
                          <w:marTop w:val="0"/>
                          <w:marBottom w:val="0"/>
                          <w:divBdr>
                            <w:top w:val="none" w:sz="0" w:space="0" w:color="auto"/>
                            <w:left w:val="none" w:sz="0" w:space="0" w:color="auto"/>
                            <w:bottom w:val="none" w:sz="0" w:space="0" w:color="auto"/>
                            <w:right w:val="none" w:sz="0" w:space="0" w:color="auto"/>
                          </w:divBdr>
                          <w:divsChild>
                            <w:div w:id="182446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203860">
                      <w:marLeft w:val="0"/>
                      <w:marRight w:val="0"/>
                      <w:marTop w:val="0"/>
                      <w:marBottom w:val="0"/>
                      <w:divBdr>
                        <w:top w:val="none" w:sz="0" w:space="0" w:color="auto"/>
                        <w:left w:val="none" w:sz="0" w:space="0" w:color="auto"/>
                        <w:bottom w:val="none" w:sz="0" w:space="0" w:color="auto"/>
                        <w:right w:val="none" w:sz="0" w:space="0" w:color="auto"/>
                      </w:divBdr>
                      <w:divsChild>
                        <w:div w:id="903759313">
                          <w:marLeft w:val="0"/>
                          <w:marRight w:val="0"/>
                          <w:marTop w:val="0"/>
                          <w:marBottom w:val="0"/>
                          <w:divBdr>
                            <w:top w:val="none" w:sz="0" w:space="0" w:color="auto"/>
                            <w:left w:val="none" w:sz="0" w:space="0" w:color="auto"/>
                            <w:bottom w:val="none" w:sz="0" w:space="0" w:color="auto"/>
                            <w:right w:val="none" w:sz="0" w:space="0" w:color="auto"/>
                          </w:divBdr>
                          <w:divsChild>
                            <w:div w:id="951060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054257">
                      <w:marLeft w:val="0"/>
                      <w:marRight w:val="0"/>
                      <w:marTop w:val="0"/>
                      <w:marBottom w:val="0"/>
                      <w:divBdr>
                        <w:top w:val="none" w:sz="0" w:space="0" w:color="auto"/>
                        <w:left w:val="none" w:sz="0" w:space="0" w:color="auto"/>
                        <w:bottom w:val="none" w:sz="0" w:space="0" w:color="auto"/>
                        <w:right w:val="none" w:sz="0" w:space="0" w:color="auto"/>
                      </w:divBdr>
                      <w:divsChild>
                        <w:div w:id="158348263">
                          <w:marLeft w:val="0"/>
                          <w:marRight w:val="0"/>
                          <w:marTop w:val="0"/>
                          <w:marBottom w:val="0"/>
                          <w:divBdr>
                            <w:top w:val="none" w:sz="0" w:space="0" w:color="auto"/>
                            <w:left w:val="none" w:sz="0" w:space="0" w:color="auto"/>
                            <w:bottom w:val="none" w:sz="0" w:space="0" w:color="auto"/>
                            <w:right w:val="none" w:sz="0" w:space="0" w:color="auto"/>
                          </w:divBdr>
                          <w:divsChild>
                            <w:div w:id="72151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861601">
                      <w:marLeft w:val="0"/>
                      <w:marRight w:val="0"/>
                      <w:marTop w:val="0"/>
                      <w:marBottom w:val="0"/>
                      <w:divBdr>
                        <w:top w:val="none" w:sz="0" w:space="0" w:color="auto"/>
                        <w:left w:val="none" w:sz="0" w:space="0" w:color="auto"/>
                        <w:bottom w:val="none" w:sz="0" w:space="0" w:color="auto"/>
                        <w:right w:val="none" w:sz="0" w:space="0" w:color="auto"/>
                      </w:divBdr>
                      <w:divsChild>
                        <w:div w:id="1592275655">
                          <w:marLeft w:val="0"/>
                          <w:marRight w:val="0"/>
                          <w:marTop w:val="0"/>
                          <w:marBottom w:val="0"/>
                          <w:divBdr>
                            <w:top w:val="none" w:sz="0" w:space="0" w:color="auto"/>
                            <w:left w:val="none" w:sz="0" w:space="0" w:color="auto"/>
                            <w:bottom w:val="none" w:sz="0" w:space="0" w:color="auto"/>
                            <w:right w:val="none" w:sz="0" w:space="0" w:color="auto"/>
                          </w:divBdr>
                          <w:divsChild>
                            <w:div w:id="1925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476876">
                      <w:marLeft w:val="0"/>
                      <w:marRight w:val="0"/>
                      <w:marTop w:val="0"/>
                      <w:marBottom w:val="0"/>
                      <w:divBdr>
                        <w:top w:val="none" w:sz="0" w:space="0" w:color="auto"/>
                        <w:left w:val="none" w:sz="0" w:space="0" w:color="auto"/>
                        <w:bottom w:val="none" w:sz="0" w:space="0" w:color="auto"/>
                        <w:right w:val="none" w:sz="0" w:space="0" w:color="auto"/>
                      </w:divBdr>
                      <w:divsChild>
                        <w:div w:id="762073346">
                          <w:marLeft w:val="0"/>
                          <w:marRight w:val="0"/>
                          <w:marTop w:val="0"/>
                          <w:marBottom w:val="0"/>
                          <w:divBdr>
                            <w:top w:val="none" w:sz="0" w:space="0" w:color="auto"/>
                            <w:left w:val="none" w:sz="0" w:space="0" w:color="auto"/>
                            <w:bottom w:val="none" w:sz="0" w:space="0" w:color="auto"/>
                            <w:right w:val="none" w:sz="0" w:space="0" w:color="auto"/>
                          </w:divBdr>
                          <w:divsChild>
                            <w:div w:id="207474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738798">
                      <w:marLeft w:val="0"/>
                      <w:marRight w:val="0"/>
                      <w:marTop w:val="0"/>
                      <w:marBottom w:val="0"/>
                      <w:divBdr>
                        <w:top w:val="none" w:sz="0" w:space="0" w:color="auto"/>
                        <w:left w:val="none" w:sz="0" w:space="0" w:color="auto"/>
                        <w:bottom w:val="none" w:sz="0" w:space="0" w:color="auto"/>
                        <w:right w:val="none" w:sz="0" w:space="0" w:color="auto"/>
                      </w:divBdr>
                      <w:divsChild>
                        <w:div w:id="1282229827">
                          <w:marLeft w:val="0"/>
                          <w:marRight w:val="0"/>
                          <w:marTop w:val="0"/>
                          <w:marBottom w:val="0"/>
                          <w:divBdr>
                            <w:top w:val="none" w:sz="0" w:space="0" w:color="auto"/>
                            <w:left w:val="none" w:sz="0" w:space="0" w:color="auto"/>
                            <w:bottom w:val="none" w:sz="0" w:space="0" w:color="auto"/>
                            <w:right w:val="none" w:sz="0" w:space="0" w:color="auto"/>
                          </w:divBdr>
                          <w:divsChild>
                            <w:div w:id="1398941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787326">
                  <w:marLeft w:val="0"/>
                  <w:marRight w:val="0"/>
                  <w:marTop w:val="0"/>
                  <w:marBottom w:val="0"/>
                  <w:divBdr>
                    <w:top w:val="none" w:sz="0" w:space="0" w:color="auto"/>
                    <w:left w:val="none" w:sz="0" w:space="0" w:color="auto"/>
                    <w:bottom w:val="none" w:sz="0" w:space="0" w:color="auto"/>
                    <w:right w:val="none" w:sz="0" w:space="0" w:color="auto"/>
                  </w:divBdr>
                  <w:divsChild>
                    <w:div w:id="534586792">
                      <w:marLeft w:val="0"/>
                      <w:marRight w:val="0"/>
                      <w:marTop w:val="360"/>
                      <w:marBottom w:val="0"/>
                      <w:divBdr>
                        <w:top w:val="none" w:sz="0" w:space="0" w:color="auto"/>
                        <w:left w:val="none" w:sz="0" w:space="0" w:color="auto"/>
                        <w:bottom w:val="none" w:sz="0" w:space="0" w:color="auto"/>
                        <w:right w:val="none" w:sz="0" w:space="0" w:color="auto"/>
                      </w:divBdr>
                      <w:divsChild>
                        <w:div w:id="1944265748">
                          <w:marLeft w:val="0"/>
                          <w:marRight w:val="0"/>
                          <w:marTop w:val="0"/>
                          <w:marBottom w:val="0"/>
                          <w:divBdr>
                            <w:top w:val="none" w:sz="0" w:space="0" w:color="auto"/>
                            <w:left w:val="none" w:sz="0" w:space="0" w:color="auto"/>
                            <w:bottom w:val="none" w:sz="0" w:space="0" w:color="auto"/>
                            <w:right w:val="none" w:sz="0" w:space="0" w:color="auto"/>
                          </w:divBdr>
                          <w:divsChild>
                            <w:div w:id="1419131428">
                              <w:marLeft w:val="0"/>
                              <w:marRight w:val="0"/>
                              <w:marTop w:val="0"/>
                              <w:marBottom w:val="0"/>
                              <w:divBdr>
                                <w:top w:val="none" w:sz="0" w:space="0" w:color="auto"/>
                                <w:left w:val="none" w:sz="0" w:space="0" w:color="auto"/>
                                <w:bottom w:val="none" w:sz="0" w:space="0" w:color="auto"/>
                                <w:right w:val="none" w:sz="0" w:space="0" w:color="auto"/>
                              </w:divBdr>
                            </w:div>
                            <w:div w:id="42481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9677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ur-lex.europa.eu/legal-content/IT/TXT/HTML/?uri=CELEX:32016R0679&amp;from=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1620</Words>
  <Characters>9240</Characters>
  <Application>Microsoft Office Word</Application>
  <DocSecurity>0</DocSecurity>
  <Lines>77</Lines>
  <Paragraphs>21</Paragraphs>
  <ScaleCrop>false</ScaleCrop>
  <Company/>
  <LinksUpToDate>false</LinksUpToDate>
  <CharactersWithSpaces>10839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Ordine dei Medici di Matera Ordine dei Medici di Matera</dc:creator>
  <cp:keywords/>
  <dc:description/>
  <cp:lastModifiedBy>Ordine dei Medici di Matera Ordine dei Medici di Matera</cp:lastModifiedBy>
  <cp:revision>2</cp:revision>
  <dcterms:created xsi:type="dcterms:W3CDTF">2023-02-02T08:15:00Z</dcterms:created>
  <dcterms:modified xsi:type="dcterms:W3CDTF">2023-02-02T08:16:00Z</dcterms:modified>
</cp:coreProperties>
</file>